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兴业银行天天万利宝稳利6号净值型理财产品D款</w:t>
            </w:r>
            <w:r>
              <w:rPr>
                <w:rFonts w:ascii="宋体" w:hAnsi="宋体" w:eastAsia="宋体" w:cs="宋体"/>
                <w:b/>
                <w:color w:val="000000"/>
                <w:sz w:val="32"/>
              </w:rPr>
              <w:br w:type="textWrapping"/>
            </w:r>
            <w:r>
              <w:rPr>
                <w:rFonts w:ascii="宋体" w:hAnsi="宋体" w:eastAsia="宋体" w:cs="宋体"/>
                <w:b/>
                <w:color w:val="000000"/>
                <w:sz w:val="32"/>
              </w:rPr>
              <w:t>2020年第四季度报告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报告送出日期：2021年1月22日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兴业银行天天万利宝稳利6号净值型理财产品D款</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19,395,001,472.66份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3.20%-4.20%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下属子产品的产品简称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下属子产品的产品代码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报告期末下属子产品的产品份额总数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17,880,859,498.95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1,514,141,973.71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6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产品9K219074自起息日以来，累计净值增长率为1.1350%，年化累计净值增长率为3.3957%。</w:t>
            </w:r>
            <w:r>
              <w:rPr>
                <w:rFonts w:ascii="宋体" w:hAnsi="宋体" w:eastAsia="宋体" w:cs="宋体"/>
                <w:color w:val="000000"/>
                <w:sz w:val="21"/>
              </w:rPr>
              <w:br w:type="textWrapping"/>
            </w:r>
            <w:r>
              <w:rPr>
                <w:rFonts w:ascii="宋体" w:hAnsi="宋体" w:eastAsia="宋体" w:cs="宋体"/>
                <w:color w:val="000000"/>
                <w:sz w:val="21"/>
              </w:rPr>
              <w:t>产品9K219174自起息日以来，累计净值增长率为1.1320%，年化累计净值增长率为3.3867%。</w:t>
            </w:r>
            <w:r>
              <w:rPr>
                <w:rFonts w:ascii="宋体" w:hAnsi="宋体" w:eastAsia="宋体" w:cs="宋体"/>
                <w:color w:val="000000"/>
                <w:sz w:val="21"/>
              </w:rPr>
              <w:br w:type="textWrapping"/>
            </w:r>
            <w:r>
              <w:rPr>
                <w:rFonts w:ascii="宋体" w:hAnsi="宋体" w:eastAsia="宋体" w:cs="宋体"/>
                <w:color w:val="000000"/>
                <w:sz w:val="21"/>
              </w:rPr>
              <w:t>产品9K219274自起息日以来，累计净值增长率为1.1650%，年化累计净值增长率为3.4855%。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19,615,137,704.72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18,083,357,983.97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1,531,779,720.75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r>
            <w:r>
              <w:rPr>
                <w:rFonts w:ascii="宋体" w:hAnsi="宋体" w:eastAsia="宋体" w:cs="宋体"/>
                <w:color w:val="000000"/>
                <w:sz w:val="21"/>
              </w:rPr>
              <w:br w:type="textWrapping"/>
            </w:r>
            <w:r>
              <w:rPr>
                <w:rFonts w:ascii="宋体" w:hAnsi="宋体" w:eastAsia="宋体" w:cs="宋体"/>
                <w:color w:val="000000"/>
                <w:sz w:val="21"/>
              </w:rP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r>
            <w:r>
              <w:rPr>
                <w:rFonts w:ascii="宋体" w:hAnsi="宋体" w:eastAsia="宋体" w:cs="宋体"/>
                <w:color w:val="000000"/>
                <w:sz w:val="21"/>
              </w:rPr>
              <w:br w:type="textWrapping"/>
            </w:r>
            <w:r>
              <w:rPr>
                <w:rFonts w:ascii="宋体" w:hAnsi="宋体" w:eastAsia="宋体" w:cs="宋体"/>
                <w:color w:val="000000"/>
                <w:sz w:val="21"/>
              </w:rP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资产面额</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2,294,296,382.41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1,799,823,356.23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大额存单-稳盈-浦发福州-20190202001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京-同业借款20191113001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京-同业借款20190927001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兴业银行天天万利宝稳利6号净值型理财产品D款2020年第四季度报告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京-同业借款20191119001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存放同业20201021003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20CSFD44-01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京-同业借款20191024001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京-同业借款20191021001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兴业理财托管专户天天万利宝稳利6号D款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2021年1月22日</w:t>
            </w:r>
          </w:p>
        </w:tc>
        <w:tc>
          <w:tcPr>
            <w:gridSpan w:val="3"/>
          </w:tcPr>
          <w:p>
            <w:pPr>
              <w:pStyle w:val="4"/>
            </w:pPr>
          </w:p>
        </w:tc>
        <w:tc>
          <w:p>
            <w:pPr>
              <w:pStyle w:val="4"/>
            </w:pPr>
          </w:p>
        </w:tc>
      </w:tr>
      <w:tr>
        <w:tblPrEx>
          <w:tblCellMar>
            <w:top w:w="0" w:type="dxa"/>
            <w:left w:w="10" w:type="dxa"/>
            <w:bottom w:w="0" w:type="dxa"/>
            <w:right w:w="10" w:type="dxa"/>
          </w:tblCellMar>
        </w:tblPrEx>
        <w:trPr>
          <w:trHeight w:val="2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B1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2022-05-26T07:54:06Z</dcterms:created>
  <dc:creator>cib</dc:creator>
  <cp:lastModifiedBy>成都作业单系统专用</cp:lastModifiedBy>
  <dcterms:modified xsi:type="dcterms:W3CDTF">2022-05-26T07:54:48Z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