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兴银理财兴承恒享稳盈14号净值型理财产品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845,177,391.36份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个人定期(整存整取)一年+2.60%/4.10%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845,177,391.36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产品9K51024A自成立日以来，累计净值增长率为2.0800%，年化累计净值增长率为4.6577%。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862,760,963.61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862,760,963.61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英大证券有限责任公司“撷英聚财”系列收益凭证38号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22YN02EB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69,688,220.00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51,179,100.00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21良渚文化CP003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2022网商银行0039（网商鸿微7期A1）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19云能投MTN004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40,120,000.00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17株高02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21滇池投资SCP004(绿色)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39,859,720.00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21渝康资产MTN002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39,833,240.00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19武汉航空MTN001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30,748,770.00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兴银理财兴承恒享稳盈14号净值型理财产品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