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兴银理财稳添利短债净值型理财产品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兴银理财稳添利短债净值型理财产品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9K810002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Z7002020000087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4,651,872,739.54份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中债新综合全价（1年以下）指数收益率/--</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9K810012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4,651,872,739.54</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产品9K810012自成立日以来，累计净值增长率为7.6900%，年化累计净值增长率为4.0916%。</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5,009,620,567.43</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5,009,620,567.43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沈方威先生，中国人民大学金融学硕士，中央财经大学投资学学士，拥有4年多的债券投资交易经验，曾任职于中国农业银行金融市场部交易员，于2020年7月加入兴银资管，担任固定收益部投资经理，投资交易经验丰富，注重基本面和政策研究，关注资产性价比，追求稳定回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9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二、下半年投资策略</w:t>
              <w:br/>
              <w:t xml:space="preserve">    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19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中国工商银行安顺分行大额存单20210329002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499,180,000.00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22CSFD56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299,969,400.00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240,000,560.00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21农发清发02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231,554,340.00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20东北C1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120,407,880.00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102,326,400.00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101,636,700.00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20南京医药(疫情防控债)MTN001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100,650,500.00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100,000,350.00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100,000,350.00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18黄石城投PPN001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18渝江北嘴MTN001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19建发集MTN001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19镇江城建MTN001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20海沧投资PPN001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20南京医药(疫情防控债)MTN001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20如皋沿江PPN001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21淮安交通PPN001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21昆明交通SCP004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21厦国贸控MTN004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21湘投SCP003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22华阳新材MTN001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22怀化城投SCP001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22金龙湖CP001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22象屿金象CP001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22云能投MTN002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22镇江交通MTN003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051010100101065169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兴银理财稳添利短债净值型理财产品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1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