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兴银理财睿盈年年升11号净值型理财产品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Z7002021000134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1,735,248,826.88份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1,501,766,389.31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9K221211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233,482,437.57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产品9K221111自成立日以来，累计净值增长率为-0.0120%，年化累计净值增长率为-0.0148%。</w:t>
              <w:br/>
              <w:t xml:space="preserve">产品9K221211自成立日以来，累计净值增长率为0.0830%，年化累计净值增长率为0.1023%。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1,735,265,366.48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1,501,589,134.99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233,676,231.49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雯丽女士，复旦大学财务管理学士、金融硕士，5年债券投资研究经验，曾任华安基金管理有限公司信用研究员，于2019年加入兴业银行资管，现任兴银理财债券投资经理，主要负责纯债和股债混合产品投资管理工作。追求持续稳定回报，在保证流动性和安全性的前提下，兼顾收益性，擅长通过基本面研究、信用研究和主动管理获取超额收益。</w:t>
              <w:br/>
              <w:t xml:space="preserve">    曹子寒先生，北京大学物理学、经济学学士，金融法学硕士，CPA。17年加入兴银理财（前兴业银行资产管理部），5年权益研究投资经验。现任兴银理财股票与量化投资部投资经理。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269,968,254.98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22南电MTN001(乡村振兴)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149,517,750.00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兴银理财睿盈年年升11号净值型理财产品2022年第二季度报告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61,840,920.00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21苏国信MTN003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50,975,900.00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21湘江新发MTN001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50,888,950.00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21四川机场MTN001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50,766,900.00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50,545,200.00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22闽西兴杭MTN001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兴银理财睿盈年年升11号净值型理财产品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