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兴银理财稳添利短债3号净值型理财产品2022年第二季度报告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兴银理财稳添利短债3号净值型理财产品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兴银理财稳添利短债3号净值型理财产品2022年第二季度报告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兴银理财稳添利短债3号净值型理财产品2022年第二季度报告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兴银理财稳添利短债3号净值型理财产品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9K810030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Z7002021000123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3,922,398,067.25份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中债新综合全价（1年以下）指数收益率/--</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稳添利短债3号A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9K81003A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2,134,704,665.65</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稳添利短债3号B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9K81003B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1,787,693,401.60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兴银理财稳添利短债3号净值型理财产品2022年第二季度报告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产品9K81003A自成立日以来，累计净值增长率为3.7270%，年化累计净值增长率为3.7788%。</w:t>
              <w:br/>
              <w:t xml:space="preserve">产品9K81003B自成立日以来，累计净值增长率为3.8230%，年化累计净值增长率为3.8761%。</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1.03771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1.03771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4,070,299,504.62</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1.03727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1.03727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2,214,270,114.48</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1.03823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1.03823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1,856,029,390.14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赵天然女士，复旦大学经济学（数理经济方向）学士；复旦大学国际经济学硕士。具有8年固定收益领域投资交易经验。自2015年8月加入兴业银行以来，一直在资产管理事业部任投资经理，债券交易量近数千亿，交易能力出众；牵头固定收益投资部的利率债交易盘和信用债二级投资，擅长利率债波段和信用债价值挖掘；牵头固定收益投资部的宏观利率研究工作，对债券市场走势有深刻的理解。</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7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踪利差的变动，进行积极调仓，在信用利差显著走扩的情况下，增持了3年内信用债、有所超跌的3-5年大行二级资本债。</w:t>
              <w:br/>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兴银理财稳添利短债3号净值型理财产品2022年第二季度报告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二、下半年投资策略</w:t>
              <w:br/>
              <w:t xml:space="preserve">    6月末以来，长端利率出现较快上行，主要是由于疫情影响消退，市场围绕疫后经济复苏开展交易，财政政策加码亦受到关注。考虑到前期政策靠前发力，复工加速，经济从底部回升，短期内修复斜率可能会比较高，外围仍处于加息环境中，内外因素对债市都偏空，另外市场关注资金面向中性收敛的压力，以上均压制长端利率的表现。市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会，尤其是期限利差压缩的机会。</w:t>
              <w:br/>
              <w:t xml:space="preserve">    利率估值方面，当前绝对水平并不高，考虑到利率中枢下降，有其合理性。各投资机构的久期位于中位数，显示投资者情绪并不极端。</w:t>
              <w:br/>
              <w:t xml:space="preserve">    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兴银理财稳添利短债3号净值型理财产品2022年第二季度报告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300,000,350.00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7.37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249,995,000.00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22CSFD98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249,981,750.00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22CSFD92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249,980,500.00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22CSFD93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249,980,250.00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22CSFD79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249,977,250.00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22CSFD80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249,977,000.00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20农发清发03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120,295,680.00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110,000,255.00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20通用MTN001A</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100,208,400.00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2.46</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3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17象屿MTN003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19东湖高新PPN001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19淮安经开MTN001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20南平武夷MTN001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21武汉碧水GN001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兴银理财稳添利短债3号净值型理财产品2022年第二季度报告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051010100101211209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兴银理财稳添利短债3号净值型理财产品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10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