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兴银理财ESG兴动未来1号净值型理财产品2022年第二季度报告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兴银理财ESG兴动未来1号净值型理财产品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兴银理财ESG兴动未来1号净值型理财产品2022年第二季度报告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兴银理财ESG兴动未来1号净值型理财产品2022年第二季度报告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兴银理财ESG兴动未来1号净值型理财产品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9K221501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Z7002021000149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813,595,609.55份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产品9K221501自成立日以来，累计净值增长率为3.9380%，年化累计净值增长率为3.9165%。</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8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兴银理财ESG兴动未来1号净值型理财产品2022年第二季度报告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1.03938</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1.03938</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845,635,413.74</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莹女士，上海财经大学金融学硕士，CFA，13年证券投资经验。2008年至2013年在兴业银行从事债券投资、组合投资管理，2013年至2021年任兴业基金管理有限公司固收投资部团队总监及基金经理，历任兴业定期开放债券型证券投资基金、兴业年年利定期开放债券型证券投资基金、兴业添利债券型证券投资基金、兴业14天理财债券型证券投资基金、兴业瑞丰6个月定期开放债券型证券投资基金、兴业奕祥混合型证券投资基金基金经理，2021年至今任兴银理财投资经理。擅长长期宏观趋势判断及中观产业分析，投资风格均衡稳定。</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868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回顾。宏观层面，2022年一季度，市场最重要的两个非线性变化，即俄乌冲突带来的全球通胀升温、中国加强疫情管控带来的经济衰退和供应链紊乱，而以上两个因素都使得全球经济维持滞涨的时间会增加、因而带来的民粹势力进一步激化、政策更加激进。二季度，市场经历了疫情修复以及俄乌冲突后的能源危机，以及在此影响下中国基本面的拐点向上和欧美深陷通胀沼泥下的拐点向下。从市场层面看，商品从维持高位震荡到二季度逐步回落，相比去年，基础化石能源的价格至少上涨一倍，而我国由于能源供给相对独立，加之国家对于煤炭价格、电力价格的控制手段，我国作为全球供应链的制造环节，尽管中高端利润会大幅压缩，但全球供应链地位、贸易地位仍然较为稳固，反映在权益市场上，A股相对其他发展经济体走出独立行业，经历了1-4月份的大幅调整后，市场迅速反弹，以创业板为例，本轮下跌40%，反弹至今上涨33%。债券市场则多空因素交织，整体表现出窄幅震荡格局。</w:t>
              <w:br/>
              <w:t xml:space="preserve">    二、市场展望。</w:t>
              <w:br/>
              <w:t xml:space="preserve">    展望后市，2022年从经济增速的角度，全年应该是相对困难的一年，整体呈现基本面差、政策进的状态。投资方面，地产销售大幅下滑且复苏缓慢，真正看到数据企稳，最快也要三季度中后期，甚至是四季度。消费方面，受本轮奥密克戎传播速度快、隐蔽性强的特点，国内重点城市深圳、上海前后发生疫情并封城，实际经济活动程度大幅降低，消费品以及消费服务的恢复重新蒙上阴影，且本轮疫情防控地方层层加强，为严格执行中央政策，部分中小城市在有个例的情况下，果断选择大幅降低经济活动，以达到迅速控制疫情的效果，结果上看，本轮经济、商业活动影响面广、影响程度深，中小企业感受由为明显，进而对可支配收入以及居民消费信心冲击较大，后期促消费政策以及疫情政策逐步调整可能都会看到，但疫情政策的转变才能带来消费增速的真正回归。出口方面，一是由于海外疫情政策放松，供应链逐步修复；二是国内疫情政策趋严，供应链存在阶段性冲击，2022年整体看出口高速增长的势头存在减缓的可能。通胀方面，随着国际能源价格的不断上升，中国很难独善其身，PPI可能出现环比上升的态势，CPI在下半年压力会增加。上述复杂的宏观环境，债券市场，今年宽信用宽货币的整体方向短期难以改变，所有财政策略、产业政策均需货币政策的有利配合，债券震荡市的格局尚未打破，节奏上，待市场逐步消化经济反弹后，可能存在博弈反弹不及预期的机会，到时择机加仓；权益市场，年初以来的大幅震荡，股票分化较大，大盘成长处于历史估值的较贵区间，而价值、中小盘仍处于盘整区间，市场的反转需要时间或空间来消化，在当前的市场中，我们应选择竞争力较强的行业和公司进行布局，待市场休整完毕后，竞争格局好、增长潜力大的公司必然会逐步显现并增长。</w:t>
              <w:br/>
              <w:t xml:space="preserve">    三、组合策略。</w:t>
              <w:br/>
              <w:t xml:space="preserve">    兴动未来1号采用高仓位债券资产，久期1.5-2.0年；权益仓位低于10%，结构中，整体配置较为均衡，成长板</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兴银理财ESG兴动未来1号净值型理财产品2022年第二季度报告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块，维持高景气赛道绿色产业（即储能、光伏、风电）、汽车智能化的配置比例，均配周期价值等低估值板块，增加了可选消费、物业等行业配置比例，提升组合均衡性。</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62.57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兴银理财ESG兴动未来1号净值型理财产品2022年第二季度报告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贵阳市工商产业投资集团有限公司可转债优先配售融资业务（0.7亿）</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70,014,770.00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22潍坊城建01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62,998,992.00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51,397,476.07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22中国信达债01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50,752,300.00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万和共盈65号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49,991,950.00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21国债16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43,063,339.00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21华福C2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40,616,600.00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21泉城03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40,139,680.00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20筑城01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39,778,880.00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20云投G3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38,444,600.00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4.55</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60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9K221501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9K221501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9K221501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20云能投MTN003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9K221501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21淮安交通PPN001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9K221501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21江津城建MTN001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9K221501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21娄底城发MTN001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9K221501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21徐州兴铜PPN001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9K221501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22江阴资产02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9K221501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22靖江城投CP001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兴银理财ESG兴动未来1号净值型理财产品2022年第二季度报告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9K221501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22潍坊城建01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9K221501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22中国信达债01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051010100101221547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兴银理财ESG兴动未来1号净值型理财产品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6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