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产品9K220925自成立日以来，累计净值增长率为3.7550%，年化累计净值增长率为2.4344%。</w:t>
              <w:br/>
              <w:t xml:space="preserve">产品9K220935自成立日以来，累计净值增长率为3.9150%，年化累计净值增长率为2.5381%。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1,302,576,194.80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922,763,602.63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379,812,592.17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回顾2022年2季度，权益方面，权益市场经历了较大幅度波动，4月由于上海疫情和通胀导致的美联储加息因素的影响，权益市场延续了一季度的回撤，4月底很多行业和公司的估值到了很便宜的位置，随着5月和6月疫情逐步好转，以新能源为代表的成长板块大幅反弹，新能源上游锂矿相关标的今年以来已是正收益，同时消费行业也迎来反弹，医药板块和港股市场涨幅相对靠后。债券方面，信用债方面目前信用利差处于历史低位，收益率底部震荡。本报告期内，组合降低了部分债券久期。</w:t>
              <w:br/>
              <w:br/>
              <w:t xml:space="preserve">    展望2022年3季度，权益方面，拉长时间来看，权益市场仍然有一定的性价比，产品会调整配置一些前期涨幅落后的医药板块和港股板块。债券方面，我们认为信用债收益率调整的概率很高，组合配置更多的是高等级信用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199,945,580.86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199,921,993.29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189,928,024.21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44,041,307.78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36,261,153.53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31,668,677.32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易方达瑞通C ( 003840.OF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31,431,225.23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