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兴银理财天天万利宝稳利恒盈7号F款净值型理财产品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兴银理财天天万利宝稳利恒盈7号F款净值型理财产品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2,030,064,978.24份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1,477,430,272.68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552,634,705.56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产品9N21215A自成立日以来，累计净值增长率为4.1470%，年化累计净值增长率为5.0121%。</w:t>
            </w:r>
            <w:r>
              <w:rPr>
                <w:rFonts w:ascii="宋体" w:hAnsi="宋体" w:eastAsia="宋体" w:cs="宋体"/>
                <w:color w:val="000000"/>
                <w:sz w:val="21"/>
              </w:rPr>
              <w:br w:type="textWrapping"/>
            </w:r>
            <w:r>
              <w:rPr>
                <w:rFonts w:ascii="宋体" w:hAnsi="宋体" w:eastAsia="宋体" w:cs="宋体"/>
                <w:color w:val="000000"/>
                <w:sz w:val="21"/>
              </w:rPr>
              <w:t>产品9N21215B自成立日以来，累计净值增长率为4.2330%，年化累计净值增长率为5.1160%。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2,114,728,116.44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1,538,702,921.29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576,025,195.15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w:t>
            </w:r>
            <w:bookmarkStart w:id="8" w:name="_GoBack"/>
            <w:bookmarkEnd w:id="8"/>
            <w:r>
              <w:rPr>
                <w:rFonts w:ascii="宋体" w:hAnsi="宋体" w:eastAsia="宋体" w:cs="宋体"/>
                <w:color w:val="000000"/>
                <w:sz w:val="21"/>
              </w:rPr>
              <w:t>，进行积极调仓，在信用利差显著走扩的情况下，增持了3年内信用债、有所超跌的3-5年大行二级</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300,435,600.00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2021微众银行0059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160,533,337.39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2021网商银行0168（网商鸿微7期A2）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160,012,480.00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2021网商银行0149（网商鸿微4期A2）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160,010,080.00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149,948,258.02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69,998,950.00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60,384,720.00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50,861,948.43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50,112,900.00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50,060,700.00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22陕西安投资ZR001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2D51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2022-07-19T03:20:24Z</dcterms:created>
  <dc:creator>cib</dc:creator>
  <cp:lastModifiedBy>cib</cp:lastModifiedBy>
  <dcterms:modified xsi:type="dcterms:W3CDTF">2022-07-19T03:21:16Z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