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150,281,588.76份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报告期内，9TTB0001七日年化收益率均值2.5326%。同期业绩比较基准如下：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2022-04-01至2022-06-30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0.7126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2.5930%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150,281,588.76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7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长端利率整体在多重因素影响下呈震荡走势，10Y国债收益率在2.7-2.85%区间窄幅波动，4月初疫情影响稳增长进程，收益率延续3月下旬的下行趋势至2.74%。后续降准不及预期叠加上海疫情出现拐点，4月底重新站上2.85%。5月尽管政策会议稳增长暖风频吹，但受社融坍塌、微观主体活力不足，市场对经济复苏悲观预期升温，收益率震荡下行至2.7%。6月以来上海复工复产，在季度末资金面收紧、宽财政预期升温、PMI指数回暖的背景下，利率再次上行至2.85%附近。流动性方面，二季度受降准及央行上缴利润、留抵退税和各类结构性工具投放影响，流动性极度宽松，隔夜利率长期处于1.5%以下。宽货币+宽信用组合下，曲线整体走陡，长端在多重因素影响下走势纠结，机构久期相对保守、但配置压力仍在，短端交易拥挤，收益率快速下行。</w:t>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缓慢增长，产品运作平稳，七日年化收益率均值2.53%。资产配置方面，根据我们对市场的预判，在二季度流动性相对宽松、短端收益率中枢整体下移的格局下，投资上积极把握市场高点的买入机会，灵活调整产品久期与杠杆，主要配置了存放同业、同业存单、高等级信用债等品种。</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33,623,000.00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5,998,644.27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5,057,166.79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5,016,748.51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22陕有色SCP001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Z存放同业(线上)20220412003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9TTB0001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