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16,742,478.23份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产品9W210010自成立日以来，累计净值增长率为0.5510%，年化累计净值增长率为0.4079%。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0.99130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1.00551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16,596,836.99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1,318,805.60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1,093,910.56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850,365.50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806,452.20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803,472.00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772,488.60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713,952.00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