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兴银理财万汇通2号G款美元净值型理财产品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兴银理财万汇通2号G款美元净值型理财产品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30,006,417.23份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1.60%--2.40%/2.40%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万汇通汇盈2号G款A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19,994,536.99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万汇通汇盈2号G款B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10,011,880.24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产品9W21027A自成立日以来，累计净值增长率为-2.2440%，年化累计净值增长率为-5.0559%。</w:t>
              <w:br/>
              <w:t xml:space="preserve">产品9W21027B自成立日以来，累计净值增长率为-2.2260%，年化累计净值增长率为-5.0154%。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29,334,931.97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19,545,951.68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9,788,980.29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全球债市表现不佳，美国国债整体收益率-3.77%、美国投资级债券收益率-7.26%、欧元计价投资级债券收益率-7.1%、全球投资级债券收益率-8.26%、中资离岸投资级债券收益率-2.22%（本产品配置资产均为中资离岸投资级债券）。全球债市呈现下跌，跌幅较一季度所有放缓。全球债市重挫主要是多数国家加息，形成全球利率抬升共振，通胀不断创新高，加息尚未跟着通胀的增速导致加息节奏高于市场先前预期。本组合由于未利率对冲，组合存在净多头敞口（久期1.1年），受加息拖累净值有所回撤。</w:t>
              <w:br/>
              <w:t xml:space="preserve">    基于对2022年二季度市场不乐观的预判，组合管理整体偏保守，虽然市场已积累一定程度的下跌，认为当前阶段仍是“左侧”，市场尚未发出利率触顶的信号。本季度增持的债券期限未超过3个月。</w:t>
              <w:br/>
              <w:t xml:space="preserve">    展望后市，认为下半年通胀高点出现，美债利率见顶，考虑“保守”策略转为“中性”，本人将始终以客户利益为第一，随着资产的到期置换相信产品表现会继续优于市场。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1,504,695.00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1,446,255.00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1,434,660.00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1,386,994.00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1,348,675.00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1,274,184.00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1,208,597.00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1,105,058.00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ZZREAL3.9510/09/22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兴银理财万汇通2号G款美元净值型理财产品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