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兴业银行现金宝（1号）人民币理财计划</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兴业银行现金宝（1号）人民币理财计划</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07010011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C1030910000007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47,549,662,017.81份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报告期内，07010011七日年化收益率均值2.7841%。同期业绩比较基准如下：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0.7433</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2.7420%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47,549,662,017.81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t xml:space="preserve">二 前期运作回顾</w:t>
              <w:br/>
              <w:t xml:space="preserve">    报告期内，本产品始终将保持流动性安全和防范信用风险作为第一要务，在此基础上通过稳健的投资风格实现相对稳定的收益。</w:t>
              <w:br/>
              <w:t xml:space="preserve">    报告期内，本产品运作平稳，前期根据我们对市场的预判，在二季度流动性相对宽松、短端收益率中枢整体下移的格局下，投资上积极把握市场高点的买入机会，主要配置了同业存单、高等级信用债等品种，同时以隔夜正回购为主的杠杆策略为产品增厚收益。报告期内，本产品七日年化收益率均值2.78%，在同类型产品中具有较强竞争力。</w:t>
              <w:br/>
              <w:t xml:space="preserve">三 后期投资策略</w:t>
              <w:br/>
              <w:t xml:space="preserve">    下半年随着疫情缓解、政策加力后经济逐渐复苏，预计流动性将有所收敛，随着宽信用的持续推进，超储消耗</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加快，隔夜利率也会随之抬升。当前货币市场利率大多基于隔夜1.5%以下定价，收益率绝对水平和信用利差处于历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此外，结合已颁布的《关于规范现金管理类理财产品管理有关事项的通知》，我们将持续按照监管部门的要求，对产品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5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1,093,563,987.60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20建信金融债01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1,028,162,849.38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存放同业20220214001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存放同业20210314002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21农业银行CD142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988,959,418.40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828,794,567.09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18华润置地MTN002B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19蒙牛MTN001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19中建投租MTN001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20百联集MTN001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20江苏租赁绿色01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20陕延油MTN003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20天成租赁GN001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20天成租赁GN002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21楚天智能SCP004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21闽冶金SCP008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21湘高速MTN006(革命老区)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21雨花城投SCP002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22安吉租赁ABN001优先A1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86,724,000.00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22国新保理SCP001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22临海国投PPN001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22青岛国信SCP001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22万华化学CP006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22夏商SCP003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22云南冶金SCP001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22中交租赁SCP001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051010100100004465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