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兴业银行“现金宝4号”私人银行类人民币理财产品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兴业银行“现金宝4号”私人银行类人民币理财产品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84212041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C1030912001325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23,455,775,875.39份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报告期内，84212041七日年化收益率均值2.7334%。同期业绩比较基准如下：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0.7652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2.8190%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23,455,775,875.39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相对稳定、运作平稳。前期根据我们对市场的预判，在二季度流动性相对宽松、短端收益率中枢整体下移的格局下，投资上积极把握4月初、6月初的买入时点，主要配置了同业存单、高等级信用债、ABS等资产品种，同时以隔夜正回购为主的杠杆策略为产品增厚收益。报告期内，本产品七日年化收益率均值2.73%，收益率表现较好。</w:t>
              <w:br/>
              <w:t xml:space="preserve">三 后期投资策略</w:t>
              <w:br/>
              <w:t xml:space="preserve">    下半年随着疫情缓解、政策加力后经济逐渐复苏，预计流动性将有所收敛，随着宽信用的持续推进，超储消耗</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br/>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存放同业20220214002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22广发银行CD042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995,874,084.79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存放同业20220421001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18江津华信MTN001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19顺德控股MTN001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22兴晴1优先A1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65,021,990.00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兴业银行股份有限公司理财产品托管专户（现金宝4号）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