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兴银理财睿盈年年升6号净值型理财产品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兴银理财睿盈年年升6号净值型理财产品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1,453,649,037.19份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1,201,137,753.07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睿盈年年升6号B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252,511,284.12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产品9K220126自成立日以来，累计净值增长率为2.3910%，年化累计净值增长率为1.6560%。</w:t>
            </w:r>
            <w:r>
              <w:rPr>
                <w:rFonts w:ascii="宋体" w:hAnsi="宋体" w:eastAsia="宋体" w:cs="宋体"/>
                <w:color w:val="000000"/>
                <w:sz w:val="21"/>
              </w:rPr>
              <w:br w:type="textWrapping"/>
            </w:r>
            <w:r>
              <w:rPr>
                <w:rFonts w:ascii="宋体" w:hAnsi="宋体" w:eastAsia="宋体" w:cs="宋体"/>
                <w:color w:val="000000"/>
                <w:sz w:val="21"/>
              </w:rPr>
              <w:t>产品9K220226自成立日以来，累计净值增长率为2.5090%，年化累计净值增长率为1.7377%。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1,488,707,937.45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1,229,860,597.82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258,847,339.63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r>
              <w:rPr>
                <w:rFonts w:ascii="宋体" w:hAnsi="宋体" w:eastAsia="宋体" w:cs="宋体"/>
                <w:color w:val="000000"/>
                <w:sz w:val="21"/>
              </w:rPr>
              <w:br w:type="textWrapping"/>
            </w:r>
            <w:r>
              <w:rPr>
                <w:rFonts w:ascii="宋体" w:hAnsi="宋体" w:eastAsia="宋体" w:cs="宋体"/>
                <w:color w:val="000000"/>
                <w:sz w:val="21"/>
              </w:rPr>
              <w:t xml:space="preserve">    谢若嫣女士，清华大学经济管理学院硕士，CPA，2020年加入兴银理财，曾在泰康资产管理有限责任公司工作，5年FOF研究投资经验。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r>
              <w:rPr>
                <w:rFonts w:ascii="宋体" w:hAnsi="宋体" w:eastAsia="宋体" w:cs="宋体"/>
                <w:color w:val="000000"/>
                <w:sz w:val="21"/>
              </w:rPr>
              <w:br w:type="textWrapping"/>
            </w:r>
            <w:r>
              <w:rPr>
                <w:rFonts w:ascii="宋体" w:hAnsi="宋体" w:eastAsia="宋体" w:cs="宋体"/>
                <w:color w:val="000000"/>
                <w:sz w:val="21"/>
              </w:rP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2022网商银行0028（网商鸿微6期A1）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119,997,120.00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18陕西水务MTN001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51,026,100.00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22滨湖01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50,229,150.00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50,024,100.00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41,188,880.00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40,323,240.00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21一创01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40,306,200.00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22国创03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40,053,120.00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39,909,560.00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华泰柏瑞享利C 003592.OF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30,727,448.55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21江阴公MTN001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22弘创租赁PPN001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22华鲁控股SCP002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22铜陵建投GN001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051010100101034498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兴银理财睿盈年年升6号净值型理财产品2022年第二季度报告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10694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2022-07-19T03:11:51Z</dcterms:created>
  <dc:creator>cib</dc:creator>
  <cp:lastModifiedBy>cib</cp:lastModifiedBy>
  <dcterms:modified xsi:type="dcterms:W3CDTF">2022-07-19T03:15:03Z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