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兴银理财ESG悦动6号净值型理财产品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1,168,065,948.89份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3.80%--4.80%/4.80%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1,049,639,172.97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118,426,775.92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产品9K22015A自成立日以来，累计净值增长率为1.9670%，年化累计净值增长率为4.6023%。</w:t>
              <w:br/>
              <w:t xml:space="preserve">产品9K22015B自成立日以来，累计净值增长率为1.9510%，年化累计净值增长率为4.5648%。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1,191,024,278.27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1,070,287,033.51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120,737,244.76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国内经济增速受疫情影响明显回落，通胀预期略有回落。政策方面，货币政策宽松，但幅度低于预期。银行间资金利率总体处于低位。债市方面，债券市场收益先下后上，总体平稳。股市方面，受疫情影响先跌后涨。本报告期内，本组合减持了部分债券资产，增持了部分权益资产。</w:t>
              <w:br/>
              <w:t xml:space="preserve">    展望2022年三季度，预计经济增速会逐渐企稳。货币政策方面，目前维持宽松，但有进一步低于预期的风险。综合来看，债券中性为主，需要考虑增持套保工具。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46,067,758.00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41,039,514.27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30,097,980.00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20鑫诚02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30,065,910.00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G20阿地1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20,538,720.00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20,339,540.00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20华靖02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20,329,960.00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20赣租01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20江滨02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20,287,440.00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兴业期货-睿盈5号集合资产管理计划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051010100101336396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兴银理财ESG悦动6号净值型理财产品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