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兴银理财增盈优选10号净值型理财产品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1,436,379,563.48份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1,063,017,192.90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373,362,370.58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产品9K220920自成立日以来，累计净值增长率为6.1170%，年化累计净值增长率为3.3778%。</w:t>
              <w:br/>
              <w:t xml:space="preserve">产品9K220930自成立日以来，累计净值增长率为6.3030%，年化累计净值增长率为3.4805%。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1,524,943,124.99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1,128,046,757.99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396,896,367.00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回顾2022年2季度，权益方面，权益市场经历了较大幅度波动，4月由于上海疫情和通胀导致的美联储加息因素的影响，权益市场延续了一季度的回撤，4月底很多行业和公司的估值到了很便宜的位置，随着5月和6月疫情逐步好转，以新能源为代表的成长板块大幅反弹，新能源上游锂矿相关标的今年以来已是正收益，同时消费行业也迎来反弹，医药板块和港股市场涨幅相对靠后。债券方面，信用债方面目前信用利差处于历史低位，收益率底部震荡。本报告期内，组合降低了部分债券久期。</w:t>
              <w:br/>
              <w:br/>
              <w:t xml:space="preserve">    展望2022年3季度，权益方面，拉长时间来看，权益市场仍然有一定的性价比，产品会调整配置一些前期涨幅落后的医药板块和港股板块。债券方面，我们认为信用债收益率调整的概率很高，组合配置更多的是高等级信用债。本产品将秉承勤勉尽责的态度，坚持风险分散，力争在风险可控的基础上获得相对稳定的超额收益。”</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459,970,392.14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239,951,289.36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57,343,055.23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21航集02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20进纾01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45,285,885.00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21广州地铁MTN007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40,308,320.00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37,011,235.17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31,248,621.14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30,757,680.00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30,526,560.00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兴银理财增盈优选10号净值型理财产品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