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772,490,986.71份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产品9K211010自成立日以来，累计净值增长率为9.4750%，年化累计净值增长率为4.9335%。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1.03961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1.09475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803,087,873.53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49,439,950.00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20杭实G2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25,883,979.00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徐租18A2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23,644,296.21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22,166,210.00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