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兴银理财灵动全天候12号净值型理财产品</w:t>
              <w:br/>
              <w:t xml:space="preserve">2022年第二季度报告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报告送出日期：2022年7月21日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兴银理财灵动全天候12号净值型理财产品2022年第二季度报告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兴银理财灵动全天候12号净值型理财产品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9K212062</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Z7002020000205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投资类型</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固定收益类</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376,302,893.65份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业绩比较基准/业绩报酬计提基准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3.00%--6.50%/业绩比较基准上限</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24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下属子份额的销售名称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下属子份额的销售代码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报告期末下属子份额的产品份额总数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9K212162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311,900,623.54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灵动12号年年升B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9K212262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48,402,719.91</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金雪球灵动12号年年升</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9K212362</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15,999,550.20</w:t>
                        </w:r>
                      </w:p>
                    </w:tc>
                  </w:tr>
                </w:tbl>
                <w:p>
                  <w:pPr>
                    <w:pStyle w:val="EMPTY_CELL_STYLE"/>
                  </w:pPr>
                </w:p>
              </w:tc>
            </w:tr>
          </w:tbl>
          <w:p>
            <w:pPr>
              <w:pStyle w:val="EMPTY_CELL_STYLE"/>
            </w:pPr>
          </w:p>
        </w:tc>
        <w:tc>
          <w:tcPr>
     </w:tcPr>
          <w:p>
            <w:pPr>
              <w:pStyle w:val="EMPTY_CELL_STYLE"/>
            </w:pPr>
          </w:p>
        </w:tc>
      </w:tr>
      <w:tr>
        <w:trPr>
          <w:trHeight w:hRule="exact" w:val="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产品9K212162自成立日以来，累计净值增长率为4.8520%，年化累计净值增长率为3.2735%。</w:t>
              <w:br/>
              <w:t xml:space="preserve">产品9K212262自成立日以来，累计净值增长率为5.1000%，年化累计净值增长率为3.4409%。</w:t>
              <w:br/>
              <w:t xml:space="preserve">产品9K212362自成立日以来，累计净值增长率为4.8900%，年化累计净值增长率为3.3868%。</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1.04885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394,686,328.59</w:t>
                        </w:r>
                      </w:p>
                    </w:tc>
                  </w:tr>
                </w:tbl>
                <w:p>
                  <w:pPr>
                    <w:pStyle w:val="EMPTY_CELL_STYLE"/>
                  </w:pPr>
                </w:p>
              </w:tc>
            </w:tr>
          </w:tbl>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销售代码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9K212162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1.04852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327,033,333.42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9K212262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1.05100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50,871,016.75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9K212362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2022年6月30日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1.04890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16,781,978.42</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严泓，复旦大学数学系本科+经济学硕士，金融投资专业领域从业12年，具备丰富的多资产领域投资经验和广阔的全球宏观对冲视野。历任国内大型金融机构和顶尖私募对冲基金投资经理、合伙人，独立管理账户和产品超过10年，业绩表现优异。投资理念坚持自上而下和自下而上结合，把握宏观趋势结合微观结构，善于利于基本面和量化策略进行大类资产配置，注重绝对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债券市场方面，我们认为在经济增速下行、货币政策不会收紧的大前提下不具备持续下跌的基础，短期只是前期涨幅过大的回调叠加通胀预期的发酵，接下来市场应该会归于震荡，对于我们的票息持有策略有利，净值会逐渐回升。</w:t>
              <w:br/>
              <w:t xml:space="preserve">    权益方面，市场大幅下跌之后已经出现较好的配置机会，只要把握好风格、仓位，目前其实是较好的投资窗口，整体来看目前我们的结构、仓位是均衡可控的。历史上来看，没有出现大的流动性风险的情况下股、债齐跌是不可持续的。</w:t>
              <w:br/>
              <w:t xml:space="preserve">    后期产品投资策略方面，我们会积极把握相关投资机会，给产品客户创造收益。我们系列产品历史业绩表现优异，很多投资策略都是基于产品整个周期和市场行情考虑，短期的波动在所难免但是都在产品预设范围之内符合预期，请投资者耐心持有，相信后期业绩会令人满意。</w:t>
              <w:br/>
            </w:r>
          </w:p>
        </w:tc>
        <w:tc>
          <w:tcPr>
     </w:tcPr>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54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12.44</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买入返售金融资产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18.39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49.08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62.56</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2.69</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3.02</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衍生品</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0.90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委外投资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22.12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0.00</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r>
          </w:tbl>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25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资产规模</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质押式逆回购</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80,000,160.00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睿远基金汇见1号集合资产管理计划</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76,324,107.21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19.34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20,330,800.00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21福投01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20,289,220.00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20,225,100.00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21盛泽G1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20,216,460.00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5.12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20孝感城投MTN002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15,288,780.00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3.87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18宿迁城投MTN002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10,299,800.00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10,292,920.00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21余姚高铁MTN001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10,262,270.00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2.60</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21淮安水利PPN001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3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交易标的</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交易金额（万元）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兴业期货-兴合3号集合资产管理计划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0.29</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兴业期货-兴动1号集合资产管理计划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兴业期货-兴合5号集合资产管理计划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0.08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兴业期货-兴合1号集合资产管理计划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9K212062</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兴业期货-兴合4号集合资产管理计划</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管理费</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兴业期货有限公司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2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兴银理财灵动全天候12号净值型理财产品2022年第二季度报告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051010100101137416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兴银理财灵动全天候12号净值型理财产品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2022年7月21日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