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903,863,020.8份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667,217,774.01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233,445,246.79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产品9K212165自成立日以来，累计净值增长率为4.9800%，年化累计净值增长率为3.4557%。</w:t>
              <w:br/>
              <w:t xml:space="preserve">产品9K212265自成立日以来，累计净值增长率为5.1110%，年化累计净值增长率为3.5466%。</w:t>
              <w:br/>
              <w:t xml:space="preserve">产品9K212365自成立日以来，累计净值增长率为5.1530%，年化累计净值增长率为3.5758%。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949,186,311.36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700,445,826.91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245,375,583.46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3,364,900.99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284,242,091.86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97,824,800.00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PR续1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36,419,050.00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30,834,810.00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21浦集03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30,260,340.00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29,963,010.00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22,025,542.00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华泰柏瑞鼎利A 004010.OF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20,295,281.16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22象屿股份SCP011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22兴蓉环境MTN001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