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兴银理财灵动全天候20号净值型理财产品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496,923,124.46份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382,545,421.82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110,398,563.43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3,979,139.21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产品9K212170自成立日以来，累计净值增长率为4.9140%，年化累计净值增长率为3.7058%。</w:t>
              <w:br/>
              <w:t xml:space="preserve">产品9K212270自成立日以来，累计净值增长率为5.0470%，年化累计净值增长率为3.8061%。</w:t>
              <w:br/>
              <w:t xml:space="preserve">产品9K212370自成立日以来，累计净值增长率为4.9200%，年化累计净值增长率为3.7103%。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521,489,526.22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401,344,024.58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115,970,582.47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4,174,919.17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如我们之前判断，权益市场筑底后出现快速反弹，方向依然是汽车为核心的新能源相关行业。债市也的确出现了高位震荡的行情走势。意外的是，美联储的加息力度超过了市场预期，中美利差倒挂并加大，这给国内资产带来了较大的估值压力。但，我们看到在5月底疫情逐渐结束后，相关的经济金融数据出现好于预期的表现，市场信心得到提升。本报告期内，本组合积极调整债券持仓，利用利率衍生品对冲久期风险，此外对权益资产进行增配并积极调整行业结构。本组合净值在本报告期内表现较好。</w:t>
              <w:br/>
              <w:t xml:space="preserve">    展望三季度，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20,472,580.00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20,354,940.00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20,147,860.00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