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兴银理财灵动全天候28号净值型理财产品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70,852,549.01份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46,757,925.35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24,094,623.66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产品9K212178自成立日以来，累计净值增长率为1.8220%，年化累计净值增长率为6.2152%。</w:t>
              <w:br/>
              <w:t xml:space="preserve">产品9K212278自成立日以来，累计净值增长率为1.8520%，年化累计净值增长率为6.3176%。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72,150,910.58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47,609,993.68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24,540,916.90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上海疫情愈演愈烈，同时北京也有局部·爆发迹象，导致中国经济大幅下滑。股市在3.16金融委会议确立了政策底，但4月初在疫情影响下继续下滑，在4月底华为特斯拉等造车企业发声，上海推动逐步复工后，股市开始反弹，相关受益品种新能源车产业链，新冠口服药等涨幅可观。同时债市因经济下滑短暂有一定下行，资金利率一直保持低位，但5月社融数据大超预期，疫情结束后经济修复带来的压力导致之后债市整体弱势震荡。本报告期内，本组合根据市场情况适当调整债券持仓，利用利率衍生品对冲久期风险。对权益资产适当配置并积极调整结构。本组合净值在本报告期内表现较好。</w:t>
              <w:br/>
              <w:t xml:space="preserve">    展望三季度，海外俄乌冲突继续，美联储加息进程加速和通胀高企，将进一步伤害美国股市，美债利率也有进一步上行的可能，但中美利率水平在未达到7的警戒位时，对国内影响不大。下半年20大的召开对国内政治经济格局影响较大，之前以维稳为主，权益整体随经济疫后复苏，将大概率保持震荡上行，利率在外部通胀压力较大，国内经济较差但环比恢复的情况下，下行概率较低，小幅震荡略偏空。本组合将继续积极主动管理好大类资产的配置，同时精细化优选类属资产。</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21荆州城投MTN002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5,968,832.20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4,096,904.00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21石狮产业MTN001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4,072,132.00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3,088,623.00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3,071,709.00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3,057,756.00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21芜湖建设MTN001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3,056,424.00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20建德国资MTN003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3,052,698.00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21栖霞科技MTN002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3,042,483.00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21温岭国资MTN002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3,022,716.00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