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兴银理财兴合常青1号混合类净值型理财产品2022年第二季度报告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兴银理财兴合常青1号混合类净值型理财产品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兴银理财兴合常青1号混合类净值型理财产品2022年第二季度报告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兴银理财兴合常青1号混合类净值型理财产品2022年第二季度报告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兴银理财兴合常青1号混合类净值型理财产品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9K212820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1,159,205,038.22份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3.00%--7.50%/--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兴银兴合常青1号A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9K21282A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873,083,461.19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兴银兴合常青1号B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9K21282B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286,121,577.03</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兴银理财兴合常青1号混合类净值型理财产品2022年第二季度报告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产品9K21282A自成立日以来，累计净值增长率为0.0770%，年化累计净值增长率为0.1176%。</w:t>
              <w:br/>
              <w:t xml:space="preserve">产品9K21282B自成立日以来，累计净值增长率为0.1600%，年化累计净值增长率为0.2444%。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9K212820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1,160,335,323.21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9K21282A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873,756,794.73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9K21282B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286,578,528.48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br/>
              <w:t xml:space="preserve">    王浩先生，CFA，FRM，美国芝加哥大学金融数学硕士，2016年加入兴业银行，金融从业10年，曾在中国金融期货交易所工作，为股指期货、股指期权的开发和上市的核心团队成员，在量化投资和衍生品投资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7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兴银理财兴合常青1号混合类净值型理财产品2022年第二季度报告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权益方面，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t xml:space="preserve">    二、下半年投资策略</w:t>
              <w:br/>
              <w:t xml:space="preserve">    固收方面，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b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兴银理财兴合常青1号混合类净值型理财产品2022年第二季度报告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兴业信托·兴享稳健常春藤1号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332,149,909.10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21建设银行CD228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117,149,400.00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21兖州煤业MTN001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50,720,050.00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50,337,900.00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21国泰君安CP003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40,065,840.00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22乌城投PPN001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30,355,380.00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兴银理财兴合常青1号混合类净值型理财产品2022年第二季度报告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21昆明轨道MTN002(绿色)</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30,352,590.00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21拱墅城投PPN001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30,219,480.00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22义市01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30,148,170.00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22津城建SCP022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30,100,290.00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9K212820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21合肥高新SCP002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9K212820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21河北高速MTN002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9K212820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21潍坊城建SCP003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9K212820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21株洲城建MTN002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9K212820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22津城建SCP022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9K212820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兴业信托·兴享稳健常春藤1号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051010100101282411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兴银理财兴合常青1号混合类净值型理财产品</w:t>
                        </w:r>
                      </w:p>
                    </w:tc>
                  </w:tr>
                </w:tbl>
                <w:p>
                  <w:pPr>
                    <w:pStyle w:val="EMPTY_CELL_STYLE"/>
                  </w:pPr>
                </w:p>
              </w:tc>
            </w:tr>
          </w:tbl>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兴银理财兴合常青1号混合类净值型理财产品2022年第二季度报告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