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兴银理财金雪球稳利年年兴D款净值型理财产品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兴银理财金雪球稳利年年兴D款净值型理财产品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292,405,503.77份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3.70%--4.10%/4.10%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产品9C212140自成立日以来，累计净值增长率为1.6680%，年化累计净值增长率为4.5098%。</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1.01668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1.01668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297,281,392.01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7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21首创置业MTN002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20,279,240.00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54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20,135,160.00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15,324,075.00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21海兴PPN001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10,365,410.00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21南京浦口MTN002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21淮安新投GN001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10,244,460.00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21南岸城建MTN001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10,238,610.00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10,226,890.00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20钟楼新城MTN003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4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21海兴PPN001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21衡阳城投PPN002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21盐城海兴PPN003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9C212140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兴银理财金雪球稳利年年兴D款净值型理财产品2022年第二季度报告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051010100101232104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兴银理财金雪球稳利年年兴D款净值型理财产品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