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1,480,428,628.37份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产品9K219063自成立日以来，累计净值增长率为11.0900%，年化累计净值增长率为4.7790%。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1.11090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1,540,982,647.53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周宇先生，复旦大学金融学硕士、北京大学金融学学士，8年FOF/MOM从业经验。2016年加入兴业银行资产管理部权益投资团队担任投资经理。曾任工商银行私人银行部权益投资经理</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199,968,557.22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107,720,772.08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76,062,624.00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22邮储银行二级01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60,294,960.00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50,159,900.00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22申证C1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远海租63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17鄂州管廊债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33,971,440.00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20德源绿色债02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31,183,470.00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21华电云南MTN001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