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37,955,216,718.64份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报告期内，9B310006七日年化收益率均值2.8088%。同期业绩比较基准如下：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0.8552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2.8200%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37,955,216,718.64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4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报告期内，本产品始终将保持流动性安全和防范信用风险作为第一要务，在此基础上通过稳健的投资风格实现相对稳定的收益。</w:t>
              <w:br/>
              <w:t xml:space="preserve">    报告期内，本产品运作平稳，前期根据我们对市场的预判，在二季度流动性相对宽松、短端收益率中枢整体下移的格局下，投资上积极把握市场高点的买入机会，主要配置了同业存单、高等级信用债等品种，同时以隔夜正回购为主的杠杆策略为产品增厚收益。</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下阶段我们会深入研究分析债券市场收益率的变化趋势，在此基础上制定科学有效的投资策略。久期策略上，我们</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1,284,902,601.58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Z存放同业（线上）20211012006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989,008,818.91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988,857,159.95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988,802,530.70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21恒丰银行CD274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867,566,508.88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17合建投MTN002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19华润MTN005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19金桥开发MTN001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22青岛地铁SCP001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