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兴银理财日日新1号净值型理财产品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兴银理财日日新1号净值型理财产品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29,120,488,248.92份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 + 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日日新1号A（新客专属）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22,351,352,627.21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日日新1号B（新客专属）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6,769,135,621.71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200"/>
        <w:gridCol w:w="100"/>
        <w:gridCol w:w="20"/>
        <w:gridCol w:w="1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0"/>
        </w:trPr>
        <w:tc>
          <w:tcPr>
     </w:tcPr>
          <w:p>
            <w:pPr>
              <w:pStyle w:val="EMPTY_CELL_STYLE"/>
            </w:pPr>
          </w:p>
        </w:tc>
        <w:tc>
          <w:tcPr>
            <w:gridSpan w:val="6"/>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报告期内，9B310061七日年化收益率均值2.9496%，9B31006B七日年化收益率均值2.9495%。同期业绩比较基准如下：</w:t>
            </w: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29,120,488,248.92</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22,351,352,627.21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6,769,135,621.71</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br/>
              <w:t xml:space="preserve">    李刚刚先生，清华大学工学学士、硕士，具有银行间本币市场交易员资格。2020年加入兴银理财从事理财产品投资组合管理工作，协助管理总规模逾千亿，善于大资金的资产配置和流动性管理。现担任“兴银理财添利8号净值型理财产品”和“兴银理财日日新1号净值型理财产品”投资经理助理。</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 前期运作回顾</w:t>
              <w:br/>
              <w:t xml:space="preserve">    报告期内，本产品始终将保证流动性安全和防范信用风险作为第一要务，通过稳健的投资风格实现相对稳定的收益。资产构建上以杠杆票息策略为主，在流动性宽松、短端收益率中枢整体下移的格局下积极把握季末等边际波动时点建仓，整体配置以中高等级信用债、同业存单、存放和ABS为主，兼顾流动性和收益性；组合维持中性偏低杠杆水平，负债成本有所下降。报告期内本产品规模稳定，在市场同类新客产品中保持了竞争力。</w:t>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br/>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Z存放同业（线上）20220302001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Z存放同业（线上）20210917003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830,153,250.42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595,053,186.22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Z存放同业（线上）20211012009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22杭州银行CD168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488,713,027.54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19外滩PPN002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20安踏体育MTN001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20江门建设MTN002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21昌吉州MTN001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21国开绿债01清发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22横店CP001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22云南冶金SCP001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051010100101178786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