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945,729,474.06份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945,729,474.06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产品9D31001A自成立日以来，累计净值增长率为3.2530%，年化累计净值增长率为4.6931%。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976,492,625.29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976,492,625.29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2021网商银行0171（网商鸿微8期A1）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300,291,215.95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38,209,950.00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31,194,122.00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21银河G2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22,967,176.17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