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1,756,119,991.75份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4.36%/4.36%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兴银兴承恒享新盈2号A（上海专属）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1,756,119,991.75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产品9D31002A自成立日以来，累计净值增长率为2.4940%，年化累计净值增长率为4.4405%。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1,799,925,342.95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1,799,925,342.95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后续操作来看，债券仍然维持中性仓位，通过杠杆进行套息交易。权益适当高配，择机通过ETF进行波段操作，结构仍然为均衡配置。</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21广发银行CD300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97,676,900.00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97,499,100.00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19南昌水投PPN001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60,925,740.00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50,752,300.00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48,863,550.00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40,898,960.00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PR众5G2A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36,482,994.00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35,998,775.10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22泉州城建MTN001B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22新奥控股SCP001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