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137,811,950.31份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3.65%-- 5.50%/5.50%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137,811,950.31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产品9D31003A自成立日以来，累计净值增长率为1.6680%，年化累计净值增长率为5.4359%。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140,110,213.49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140,110,213.49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22巨石SCP001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8,000,432.00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20盛裕投资PPN001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5,122,315.00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5,016,715.00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