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兴银理财兴易睿享一年定期开放1号权益类理财产品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兴银理财兴易睿享一年定期开放1号权益类理财产品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9K202110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权益类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249,460,000.00份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4.20%--8.50%/--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产品9K202110自成立日以来，累计净值增长率为3.6890%，年化累计净值增长率为7.1243%。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1.03689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1.03689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258,663,531.76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尽管今年第二季度开局权益市场因为全国疫情扩散的影响持续受到负面冲击，得益于稳健的市场中性策略，以及二季度后半段的市场复苏叠加对冲端成本有所下降的利好，本产品今年第二季度录得了不错收益。A股市场自5月上旬开始出现明显回暖迹象，市场整体上涨，其中成长风格优于价值，小盘风格好于中大盘，呈现出相当的风险偏好。但由于经济刺激政策已经尽出，且未来将面临半年报披露季，加之疫情反复的不确定性仍然存在，后市的机会更多会表现为结构性。整体行情震荡和风格切换频繁的大背景下，风险控制能力将受到更大的考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量化策略专户38号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259,643,059.53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051010100101318357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兴银理财兴易睿享一年定期开放1号权益类理财产品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