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兴银理财兴合汇景2号混合类净值型理财产品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233,702,786.74份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兴银兴合汇景2号A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9K20221A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233,702,786.74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产品9K20221A自成立日以来，累计净值增长率为2.9110%，年化累计净值增长率为6.2871%。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240,506,249.22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240,506,249.22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李源先生，南开大学经济学博士，FRM，6年资产管理行业从业经验。2016年加入兴业银行资产管理部，现任兴银理财股票与量化投资部投资经理。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74,158,757.91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21广州农村商业银行CD072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19,415,720.00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21嘉兴经技MTN001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21西海公用MTN001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