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480"/>
        <w:gridCol w:w="100"/>
        <w:gridCol w:w="100"/>
        <w:gridCol w:w="1"/>
        <w:gridCol w:w="19"/>
        <w:gridCol w:w="1"/>
        <w:gridCol w:w="19"/>
        <w:gridCol w:w="1"/>
        <w:gridCol w:w="119"/>
        <w:gridCol w:w="1"/>
        <w:gridCol w:w="139"/>
        <w:gridCol w:w="1"/>
      </w:tblGrid>
      <w:tr>
        <w:tblPrEx>
          <w:tblCellMar>
            <w:top w:w="0" w:type="dxa"/>
            <w:left w:w="10" w:type="dxa"/>
            <w:bottom w:w="0" w:type="dxa"/>
            <w:right w:w="10" w:type="dxa"/>
          </w:tblCellMar>
        </w:tblPrEx>
        <w:trPr>
          <w:gridAfter w:val="8"/>
          <w:wAfter w:w="30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兴银理财日日新2号净值型理财产品2022年第二季度报告</w:t>
            </w: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0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兴银理财日日新2号净值型理财产品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8"/>
          <w:wAfter w:w="30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兴银理财日日新2号净值型理财产品2022年第二季度报告</w:t>
            </w: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0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6840" w:hRule="atLeast"/>
        </w:trPr>
        <w:tc>
          <w:p>
            <w:pPr>
              <w:pStyle w:val="4"/>
            </w:pPr>
          </w:p>
        </w:tc>
        <w:tc>
          <w:tcPr>
            <w:gridSpan w:val="3"/>
          </w:tcPr>
          <w:p>
            <w:pPr>
              <w:pStyle w:val="4"/>
            </w:pPr>
          </w:p>
        </w:tc>
        <w:tc>
          <w:tcPr>
            <w:gridSpan w:val="10"/>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兴银理财日日新2号净值型理财产品2022年第二季度报告</w:t>
            </w: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0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8"/>
          <w:wAfter w:w="30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8"/>
          <w:wAfter w:w="30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8"/>
          <w:wAfter w:w="30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兴银理财日日新2号净值型理财产品</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9B310100</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Z7002021000126</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11,002,556,968.56份</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 + 浮动基数0.00%</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8"/>
          <w:wAfter w:w="30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日日新2号A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9B31010A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10,333,320,601.03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兴银日日新2号B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9B31010B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669,236,367.53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0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0" w:hRule="atLeast"/>
        </w:trPr>
        <w:tc>
          <w:p>
            <w:pPr>
              <w:pStyle w:val="4"/>
              <w:pageBreakBefore/>
            </w:pPr>
            <w:bookmarkStart w:id="3" w:name="JR_PAGE_ANCHOR_0_4"/>
            <w:bookmarkEnd w:id="3"/>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兴银理财日日新2号净值型理财产品2022年第二季度报告</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3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560" w:hRule="atLeast"/>
        </w:trPr>
        <w:tc>
          <w:p>
            <w:pPr>
              <w:pStyle w:val="4"/>
            </w:pPr>
          </w:p>
        </w:tc>
        <w:tc>
          <w:tcPr>
            <w:gridSpan w:val="15"/>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 xml:space="preserve">    报告期内，9B31010A七日年化收益率均值2.8843%，9B31010B七日年化收益率均值2.6670%。同期业绩比较基准如下：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1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18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9B31010A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2022-04-01至2022-06-30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9B31010B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2022-06-28至2022-06-30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21"/>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r>
      <w:tr>
        <w:tblPrEx>
          <w:tblCellMar>
            <w:top w:w="0" w:type="dxa"/>
            <w:left w:w="10" w:type="dxa"/>
            <w:bottom w:w="0" w:type="dxa"/>
            <w:right w:w="10" w:type="dxa"/>
          </w:tblCellMar>
        </w:tblPrEx>
        <w:trPr>
          <w:gridAfter w:val="2"/>
          <w:wAfter w:w="140" w:type="dxa"/>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0.7282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11,002,556,968.56</w:t>
                        </w:r>
                      </w:p>
                    </w:tc>
                  </w:tr>
                </w:tbl>
                <w:p>
                  <w:pPr>
                    <w:pStyle w:val="4"/>
                  </w:pPr>
                </w:p>
              </w:tc>
            </w:tr>
          </w:tbl>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0.7271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10,333,320,601.03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0.7440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669,236,367.53</w:t>
                        </w:r>
                      </w:p>
                    </w:tc>
                  </w:tr>
                </w:tbl>
                <w:p>
                  <w:pPr>
                    <w:pStyle w:val="4"/>
                  </w:pPr>
                </w:p>
              </w:tc>
            </w:tr>
          </w:tbl>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156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汪锦女士，上海财经大学经济学硕士，国际金融理财师（CFP），中级经济师职称。银行理财产品创设、投资从业11年。 2005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业银行添利5号净值型理财产品、兴业银行“现金宝4号”私人银行类人民币理财产品、兴银理财添利9号净值型理财产品和兴银理财添利10号净值型理财产品投资经理。</w:t>
            </w: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bookmarkStart w:id="7" w:name="_GoBack"/>
            <w:bookmarkEnd w:id="7"/>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1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37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二季度长端利率整体在多重因素影响下呈震荡走势，10Y国债收益率在2.7-2.85%区间窄幅波动，4月初疫情影响稳增长进程，收益率延续3月下旬的下行趋势至2.74%。后续降准不及预期叠加上海疫情出现拐点，4月底重新站上2.85%。5月尽管政策会议稳增长暖风频吹，但受社融坍塌、微观主体活力不足，市场对经济复苏悲观预期升温，收益率震荡下行至2.7%。6月以来上海复工复产，在季度末资金面收紧、宽财政预期升温、PMI指数回暖的背景下，利率再次上行至2.85%附近。流动性方面，二季度受降准及央行上缴利润、留抵退税和各类结构性工具投放影响，流动性极度宽松，隔夜利率长期处于1.5%以下。宽货币+宽信用组合下，曲线整体走陡，长端在多重因素影响下走势纠结，机构久期相对保守、但配置压力仍在，短端交易拥挤，收益率快速下行。</w:t>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报告期内，本产品完成符合现金管理类新规的理财产品改造，保持充足流动性、把控信用风险，并在此基础上通过稳健的投资风格实现相对有竞争力的产品收益。</w:t>
            </w:r>
            <w:r>
              <w:rPr>
                <w:rFonts w:ascii="宋体" w:hAnsi="宋体" w:eastAsia="宋体" w:cs="宋体"/>
                <w:color w:val="000000"/>
                <w:sz w:val="21"/>
              </w:rPr>
              <w:br w:type="textWrapping"/>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6"/>
          <w:wAfter w:w="28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5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内，本产品规模先升后降、运作平稳。前期根据我们对市场的预判，在二季度流动性相对宽松、短端收益率中枢整体下移的格局下，投资上积极把握6月初的买入时点，主要配置了同业存单、ABS等资产品种，同时以隔夜正回购为主的杠杆策略为产品增厚收益。报告期内，本产品七日年化收益率均值2.88%，收益率表现较好。</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r>
            <w:r>
              <w:rPr>
                <w:rFonts w:ascii="宋体" w:hAnsi="宋体" w:eastAsia="宋体" w:cs="宋体"/>
                <w:color w:val="000000"/>
                <w:sz w:val="21"/>
              </w:rPr>
              <w:br w:type="textWrapping"/>
            </w:r>
            <w:r>
              <w:rPr>
                <w:rFonts w:ascii="宋体" w:hAnsi="宋体" w:eastAsia="宋体" w:cs="宋体"/>
                <w:color w:val="000000"/>
                <w:sz w:val="21"/>
              </w:rP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r>
            <w:r>
              <w:rPr>
                <w:rFonts w:ascii="宋体" w:hAnsi="宋体" w:eastAsia="宋体" w:cs="宋体"/>
                <w:color w:val="000000"/>
                <w:sz w:val="21"/>
              </w:rPr>
              <w:br w:type="textWrapping"/>
            </w:r>
            <w:r>
              <w:rPr>
                <w:rFonts w:ascii="宋体" w:hAnsi="宋体" w:eastAsia="宋体" w:cs="宋体"/>
                <w:color w:val="000000"/>
                <w:sz w:val="21"/>
              </w:rPr>
              <w:t xml:space="preserve">    此外，结合已颁布的《关于规范现金管理类理财产品管理有关事项的通知》，我们将持续按照监管部门的要求，对产品组合进行调整和优化。</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6"/>
          <w:wAfter w:w="28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6"/>
          <w:wAfter w:w="28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6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6"/>
          <w:wAfter w:w="280" w:type="dxa"/>
          <w:trHeight w:val="258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6"/>
          <w:wAfter w:w="280" w:type="dxa"/>
          <w:trHeight w:val="9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260" w:type="dxa"/>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农业银行上海分行活期存款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Z存放同业（线上）20211012007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21九江银行CD151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499,491,809.90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21农业银行CD132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495,929,288.54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21宁波银行CD282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495,856,644.19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21珠海华润银行CD071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399,349,472.59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Z存放同业（线上）20220527004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21中原银行CD267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298,935,856.73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18深建01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261,063,599.26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260" w:type="dxa"/>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19川能投MTN004A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19金圆投资MTN001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20阜阳建投PPN001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21宁河西CP001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21武汉城建SCP007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21正泰SCP006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22恒安国际CP001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恒安国际集团有限公司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兴银理财日日新2号净值型理财产品2022年第二季度报告</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22恒安国际CP002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恒安国际集团有限公司、兴业银行股份有限公司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22恒安国际CP003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恒安国际集团有限公司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22一方绿城ABN001优先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22恒安国际CP003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恒安国际集团有限公司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22恒安国际CP002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恒安国际集团有限公司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22恒安国际CP001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恒安国际集团有限公司</w:t>
                        </w:r>
                      </w:p>
                    </w:tc>
                  </w:tr>
                </w:tbl>
                <w:p>
                  <w:pPr>
                    <w:pStyle w:val="4"/>
                  </w:pPr>
                </w:p>
              </w:tc>
            </w:tr>
          </w:tbl>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051010100101214830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兴银理财日日新2号净值型理财产品</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tcPr>
            <w:gridSpan w:val="4"/>
          </w:tcPr>
          <w:p>
            <w:pPr>
              <w:pStyle w:val="4"/>
            </w:pPr>
          </w:p>
        </w:tc>
        <w:tc>
          <w:p>
            <w:pPr>
              <w:pStyle w:val="4"/>
            </w:pPr>
          </w:p>
        </w:tc>
      </w:tr>
    </w:tbl>
    <w:p/>
    <w:sectPr>
      <w:pgSz w:w="11900" w:h="16840"/>
      <w:pgMar w:top="600" w:right="3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082372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TD"/>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2022-07-19T02:00:16Z</dcterms:created>
  <dc:creator>cib</dc:creator>
  <cp:lastModifiedBy>cib</cp:lastModifiedBy>
  <dcterms:modified xsi:type="dcterms:W3CDTF">2022-07-19T02:09:52Z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