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兴银理财金雪球稳利年年兴C款净值型理财产品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兴银理财金雪球稳利年年兴C款净值型理财产品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781,440,398.82份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3.70%--4.20%/4.20%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产品9C212130自成立日以来，累计净值增长率为1.9050%，年化累计净值增长率为4.1143%。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1.01905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1.01905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796,324,437.73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400亿。擅长债券研究与分析，熟悉各类银行理财产品投资管理模式，具有丰富的机构客户净值型理财产品投资管理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b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b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br/>
              <w:t xml:space="preserve">    6月以来，受制于上海解封、疫后复苏、权益市场连续走强等诸多因素影响，债券收益率震荡上行。</w:t>
              <w:b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品实际久期，并果断降低组合仓位，同时增配货币市场工具等低波动资产和利率互换工具，降低产品波动幅度。</w:t>
              <w:b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6月以来，我们适度防守，采用中性久期、中性杠杆之下的票息策略，通过止盈部分信用债，增配货币类资产，以及构建超短+超长的哑铃型组合来降低组合波动。</w:t>
              <w:br/>
              <w:t xml:space="preserve">    下半年展望：</w:t>
              <w:b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br/>
              <w:t xml:space="preserve">    二、2022年下半年投资策略</w:t>
              <w:br/>
              <w:t xml:space="preserve">    交易策略来看，策略上产品将继续保持稳健的投资风格：</w:t>
              <w:br/>
              <w:t xml:space="preserve">    1、发挥票息策略优势，同时维持中性偏积极的杠杆水平与中性的组合久期。</w:t>
              <w:br/>
              <w:t xml:space="preserve">    2、关注货币政策边际变化带来的公募基金赎回压力带来的信用债配置机会。</w:t>
              <w:br/>
              <w:t xml:space="preserve">    3、把握行业利差、区域利差变化的收益挖掘机会和利率反弹时的配置机会。</w:t>
              <w:br/>
              <w:t xml:space="preserve">    4、关注货币政策边际变化、稳增长措施落地、新冠疫情点状冲击带来的交易机会。</w:t>
              <w:br/>
              <w:t xml:space="preserve">    5、根据市场变化分步建仓，根据收益率曲线形态做波段交易。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69,993,700.00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69,993,700.00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59,995,620.00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41,362,520.00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21北部湾MTN002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41,157,360.00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40,907,560.00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30,868,650.00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20黄冈城投PPN002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30,838,800.00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21北稀高科MTN001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20郴投集团MTN001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30,432,720.00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21北稀高科MTN001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21华阳新材CP004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21山东公用MTN002(绿色)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22珠海港股MTN001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051010100101232087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兴银理财金雪球稳利年年兴C款净值型理财产品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