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945,729,474.06份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945,729,474.06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产品9D31001A自成立日以来，累计净值增长率为3.2530%，年化累计净值增长率为4.6931%。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976,492,625.29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976,492,625.29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2021网商银行0171（网商鸿微8期A1）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300,291,215.95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盐城资04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38,209,950.00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盐城资02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31,194,122.00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21银河G2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22武清国资CP002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30,193,680.00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22,967,176.17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20抚州02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21市政03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20,376,760.00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