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137,811,950.31份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3.65%-- 5.50%/5.50%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137,811,950.31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产品9D31003A自成立日以来，累计净值增长率为1.6680%，年化累计净值增长率为5.4359%。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140,110,213.49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140,110,213.49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22巨石SCP001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8,000,432.00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20盛裕投资PPN001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5,122,315.00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5,016,715.00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6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