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99"/>
        <w:gridCol w:w="20"/>
        <w:gridCol w:w="1"/>
        <w:gridCol w:w="139"/>
        <w:gridCol w:w="1"/>
        <w:gridCol w:w="39"/>
        <w:gridCol w:w="1"/>
      </w:tblGrid>
      <w:tr>
        <w:tblPrEx>
          <w:tblCellMar>
            <w:top w:w="0" w:type="dxa"/>
            <w:left w:w="10" w:type="dxa"/>
            <w:bottom w:w="0" w:type="dxa"/>
            <w:right w:w="10" w:type="dxa"/>
          </w:tblCellMar>
        </w:tblPrEx>
        <w:trPr>
          <w:gridAfter w:val="11"/>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兴银理财日日新1号净值型理财产品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11"/>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1"/>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1"/>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11"/>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11"/>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11"/>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兴银理财日日新1号净值型理财产品</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9B310060</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Z7002021000064</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29,120,488,248.92份</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11"/>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11"/>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日日新1号A（新客专属）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9B310061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22,351,352,627.21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日日新1号B（新客专属）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9B31006B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6,769,135,621.71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3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56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报告期内，9B310061七日年化收益率均值3.0120%，9B31006B七日年化收益率均值3.0120%。同期业绩比较基准如下：</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22"/>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29,120,488,248.92</w:t>
                        </w:r>
                      </w:p>
                    </w:tc>
                  </w:tr>
                </w:tbl>
                <w:p>
                  <w:pPr>
                    <w:pStyle w:val="4"/>
                  </w:pPr>
                </w:p>
              </w:tc>
            </w:tr>
          </w:tbl>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0.8279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22,351,352,627.21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6,769,135,621.71</w:t>
                        </w:r>
                      </w:p>
                    </w:tc>
                  </w:tr>
                </w:tbl>
                <w:p>
                  <w:pPr>
                    <w:pStyle w:val="4"/>
                  </w:pPr>
                </w:p>
              </w:tc>
            </w:tr>
          </w:tbl>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r>
              <w:rPr>
                <w:rFonts w:ascii="宋体" w:hAnsi="宋体" w:eastAsia="宋体" w:cs="宋体"/>
                <w:color w:val="000000"/>
                <w:sz w:val="21"/>
              </w:rPr>
              <w:br w:type="textWrapping"/>
            </w:r>
            <w:r>
              <w:rPr>
                <w:rFonts w:ascii="宋体" w:hAnsi="宋体" w:eastAsia="宋体" w:cs="宋体"/>
                <w:color w:val="000000"/>
                <w:sz w:val="21"/>
              </w:rP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2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3"/>
          </w:tcPr>
          <w:p>
            <w:pPr>
              <w:pStyle w:val="4"/>
            </w:pPr>
          </w:p>
        </w:tc>
        <w:tc>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9"/>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财政投放等影响，流动性更加宽松，隔夜利率长期处于1.5%以下。长端震荡承压、短端交易拥挤，收益率曲线陡峭化。</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证流动性安全和防范信用风险作为第一要务，通过稳健的投资风格实现相对稳定的收益。资产构建上以杠杆票息策略为主，在流动性宽松、短端收益率中枢整体下移的格局下积极把握季末等边际波动时点建仓，整体配置以中高等级信用债、同业存单、存放和ABS为主，兼顾流动性和收益性；组合维持中性偏低杠杆水平，负债成本有所下降。报告期内本产品规模稳定，在市场同类新客产品中保持了竞争力。</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r>
            <w:r>
              <w:rPr>
                <w:rFonts w:ascii="宋体" w:hAnsi="宋体" w:eastAsia="宋体" w:cs="宋体"/>
                <w:color w:val="000000"/>
                <w:sz w:val="21"/>
              </w:rPr>
              <w:br w:type="textWrapping"/>
            </w:r>
            <w:r>
              <w:rPr>
                <w:rFonts w:ascii="宋体" w:hAnsi="宋体" w:eastAsia="宋体" w:cs="宋体"/>
                <w:color w:val="000000"/>
                <w:sz w:val="21"/>
              </w:rP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r>
            <w:r>
              <w:rPr>
                <w:rFonts w:ascii="宋体" w:hAnsi="宋体" w:eastAsia="宋体" w:cs="宋体"/>
                <w:color w:val="000000"/>
                <w:sz w:val="21"/>
              </w:rPr>
              <w:br w:type="textWrapping"/>
            </w:r>
            <w:r>
              <w:rPr>
                <w:rFonts w:ascii="宋体" w:hAnsi="宋体" w:eastAsia="宋体" w:cs="宋体"/>
                <w:color w:val="000000"/>
                <w:sz w:val="21"/>
              </w:rPr>
              <w:t xml:space="preserve">    此外，结合已颁布的《关于规范现金管理类理财产品管理有关事项的通知》，我们将持续按照监管部门的要求，对产品组合进行调整和优化。</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28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9"/>
          <w:trHeight w:val="4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9"/>
          <w:trHeight w:val="30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9"/>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7"/>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Z存放同业（线上）20220302001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830,153,250.42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21建设银行CD212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595,053,186.22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Z存放同业（线上）20210924002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22杭州银行CD168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488,713,027.54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12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18鄂联投MTN001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18汉江国资MTN004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18闽漳龙MTN001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18陕投集团MTN006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18太仓资产MTN001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18豫交投MTN001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19外滩PPN002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20安踏体育MTN001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20百业源MTN002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20阜阳建投PPN001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trHeight w:val="14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20江门建设MTN002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20江苏铁路GN001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20南京医药MTN002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20泉州国资PPN001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20苏沙钢MTN001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21国开绿债01清发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0" w:hRule="atLeast"/>
        </w:trPr>
        <w:tc>
          <w:p>
            <w:pPr>
              <w:pStyle w:val="4"/>
              <w:pageBreakBefore/>
            </w:pPr>
            <w:bookmarkStart w:id="8" w:name="JR_PAGE_ANCHOR_0_9"/>
            <w:bookmarkEnd w:id="8"/>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1"/>
          <w:trHeight w:val="12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21娄底城发MTN001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21平湖城投MTN001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21武汉港航MTN001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21益航资产PPN001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22横店CP001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22桐昆SCP006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22万华化学CP007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22云南冶金SCP001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11"/>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1"/>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11"/>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正回购金额</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051010100101178786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兴银理财日日新1号净值型理财产品</w:t>
                        </w:r>
                      </w:p>
                    </w:tc>
                  </w:tr>
                </w:tbl>
                <w:p>
                  <w:pPr>
                    <w:pStyle w:val="4"/>
                  </w:pPr>
                </w:p>
              </w:tc>
            </w:tr>
          </w:tbl>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2"/>
          </w:tcPr>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21,680,767.15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12,365,333.22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12,278,755.89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12,216,154.01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12,186,908.09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12,160,428.00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12,159,398.81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12,151,151.09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12,148,085.07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12,089,673.89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0.0415</w:t>
                        </w:r>
                      </w:p>
                    </w:tc>
                  </w:tr>
                </w:tbl>
                <w:p>
                  <w:pPr>
                    <w:pStyle w:val="4"/>
                  </w:pPr>
                </w:p>
              </w:tc>
            </w:tr>
          </w:tbl>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4"/>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10" w:name="JR_PAGE_ANCHOR_0_11"/>
            <w:bookmarkEnd w:id="10"/>
          </w:p>
        </w:tc>
        <w:tc>
          <w:tcPr>
            <w:gridSpan w:val="6"/>
          </w:tcPr>
          <w:p>
            <w:pPr>
              <w:pStyle w:val="4"/>
            </w:pPr>
          </w:p>
        </w:tc>
        <w:tc>
          <w:tcPr>
            <w:gridSpan w:val="3"/>
          </w:tcPr>
          <w:p>
            <w:pPr>
              <w:pStyle w:val="4"/>
            </w:pPr>
          </w:p>
        </w:tc>
        <w:tc>
          <w:tcPr>
            <w:gridSpan w:val="2"/>
          </w:tcPr>
          <w:p>
            <w:pPr>
              <w:pStyle w:val="4"/>
            </w:pPr>
          </w:p>
        </w:tc>
        <w:tc>
          <w:tcPr>
            <w:gridSpan w:val="4"/>
          </w:tcPr>
          <w:p>
            <w:pPr>
              <w:pStyle w:val="4"/>
            </w:pP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兴银理财日日新1号净值型理财产品2022年半年度报告</w:t>
            </w: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tcPr>
            <w:gridSpan w:val="2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8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118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tcPr>
            <w:gridSpan w:val="9"/>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4"/>
          </w:tcPr>
          <w:p>
            <w:pPr>
              <w:pStyle w:val="4"/>
            </w:pPr>
          </w:p>
        </w:tc>
        <w:tc>
          <w:tcPr>
            <w:gridSpan w:val="9"/>
          </w:tcPr>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0A527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4975</Words>
  <Characters>7542</Characters>
  <TotalTime>0</TotalTime>
  <ScaleCrop>false</ScaleCrop>
  <LinksUpToDate>false</LinksUpToDate>
  <CharactersWithSpaces>7703</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2022-09-16T03:15:04Z</dcterms:created>
  <dc:creator>lzy</dc:creator>
  <cp:lastModifiedBy>lzy</cp:lastModifiedBy>
  <dcterms:modified xsi:type="dcterms:W3CDTF">2022-09-16T03:15:24Z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7FF99869682D40BBB3003DAB2C272643</vt:lpwstr>
  </property>
</Properties>
</file>