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兴业银行兴睿优选进取混合类净值型理财产品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兴业银行兴睿优选进取混合类净值型理财产品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9H910001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627,945,793.43份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产品9H910001自成立日以来，累计净值增长率为35.2670%，年化累计净值增长率为15.0204%。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1.15267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1.35267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723,811,275.05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董国明先生，中国科学院研究生院理学硕士，2013年加入兴业银行，金融从业13年，曾在光大银行等机构任投资经理，现任资产管理事业部权益投资团队主管。</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66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37,109,501.73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27,913,773.88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富国新动力C 001510.OF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25,004,664.03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工银新兴制造C 009708.OF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20,462,280.88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易方达中证海外互联ETF 513050.SH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20,161,442.10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南方金融主题C（013500.OF）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18,292,751.45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国泰智能装备C（011322.OF）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18,260,498.02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华安聚嘉精选C（011252.OF）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18,100,901.94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华安智能生活C（013621.OF）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15,905,105.20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华安研究精选C 013506.OF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15,720,679.39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051010100100983717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兴睿优选进取混合类净值型理财产品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