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兴银理财兴易睿享一年定期开放1号权益类理财产品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兴银理财兴易睿享一年定期开放1号权益类理财产品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249,460,000.00份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4.20%--8.50%/--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产品9K202110自成立日以来，累计净值增长率为3.6890%，年化累计净值增长率为7.1243%。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1.03689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258,663,531.76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尽管今年第二季度开局权益市场因为全国疫情扩散的影响持续受到负面冲击，得益于稳健的市场中性策略，以及二季度后半段的市场复苏叠加对冲端成本有所下降的利好，本产品今年第二季度录得了不错收益。A股市场自5月上旬开始出现明显回暖迹象，市场整体上涨，其中成长风格优于价值，小盘风格好于中大盘，呈现出相当的风险偏好。但由于经济刺激政策已经尽出，且未来将面临半年报披露季，加之疫情反复的不确定性仍然存在，后市的机会更多会表现为结构性。整体行情震荡和风格切换频繁的大背景下，风险控制能力将受到更大的考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量化策略专户38号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259,643,059.53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051010100101318357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兴银理财兴易睿享一年定期开放1号权益类理财产品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