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10" w:type="dxa"/>
          <w:bottom w:w="0" w:type="dxa"/>
          <w:right w:w="10" w:type="dxa"/>
        </w:tblCellMar>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tblPrEx>
          <w:tblCellMar>
            <w:top w:w="0" w:type="dxa"/>
            <w:left w:w="10" w:type="dxa"/>
            <w:bottom w:w="0" w:type="dxa"/>
            <w:right w:w="10" w:type="dxa"/>
          </w:tblCellMar>
        </w:tblPrEx>
        <w:trPr>
          <w:gridAfter w:val="4"/>
          <w:wAfter w:w="40" w:type="dxa"/>
        </w:trPr>
        <w:tc>
          <w:tcPr>
            <w:tcW w:w="1" w:type="dxa"/>
          </w:tcPr>
          <w:p>
            <w:pPr>
              <w:pStyle w:val="6"/>
            </w:pPr>
            <w:bookmarkStart w:id="0" w:name="JR_PAGE_ANCHOR_0_1"/>
            <w:bookmarkEnd w:id="0"/>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兴业银行天天万利宝稳利6号O款净值型理财产品2022年半年度报告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96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6"/>
            </w:pPr>
          </w:p>
        </w:tc>
        <w:tc>
          <w:tcPr>
            <w:tcW w:w="10700" w:type="dxa"/>
            <w:gridSpan w:val="15"/>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兴业银行天天万利宝稳利6号O款净值型理财产品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660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72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1" w:name="JR_PAGE_ANCHOR_0_2"/>
            <w:bookmarkEnd w:id="1"/>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兴业银行天天万利宝稳利6号O款净值型理财产品2022年半年度报告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84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2000" w:type="dxa"/>
            <w:gridSpan w:val="2"/>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4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6"/>
            </w:pPr>
          </w:p>
        </w:tc>
        <w:tc>
          <w:tcPr>
            <w:tcW w:w="100" w:type="dxa"/>
            <w:gridSpan w:val="3"/>
          </w:tcPr>
          <w:p>
            <w:pPr>
              <w:pStyle w:val="6"/>
            </w:pPr>
          </w:p>
        </w:tc>
        <w:tc>
          <w:tcPr>
            <w:tcW w:w="10400" w:type="dxa"/>
            <w:gridSpan w:val="11"/>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8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0" w:type="dxa"/>
            <w:gridSpan w:val="3"/>
          </w:tcPr>
          <w:p>
            <w:pPr>
              <w:pStyle w:val="6"/>
            </w:pPr>
          </w:p>
        </w:tc>
        <w:tc>
          <w:tcPr>
            <w:tcW w:w="3300" w:type="dxa"/>
            <w:gridSpan w:val="3"/>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2" w:name="JR_PAGE_ANCHOR_0_3"/>
            <w:bookmarkEnd w:id="2"/>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兴业银行天天万利宝稳利6号O款净值型理财产品2022年半年度报告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6"/>
            </w:pPr>
          </w:p>
        </w:tc>
      </w:tr>
      <w:tr>
        <w:tblPrEx>
          <w:tblCellMar>
            <w:top w:w="0" w:type="dxa"/>
            <w:left w:w="10" w:type="dxa"/>
            <w:bottom w:w="0" w:type="dxa"/>
            <w:right w:w="10" w:type="dxa"/>
          </w:tblCellMar>
        </w:tblPrEx>
        <w:trPr>
          <w:gridAfter w:val="4"/>
          <w:wAfter w:w="40" w:type="dxa"/>
          <w:trHeight w:val="2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6"/>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4"/>
          <w:wAfter w:w="40" w:type="dxa"/>
          <w:trHeight w:val="6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6"/>
            </w:pPr>
          </w:p>
        </w:tc>
      </w:tr>
      <w:tr>
        <w:tblPrEx>
          <w:tblCellMar>
            <w:top w:w="0" w:type="dxa"/>
            <w:left w:w="10" w:type="dxa"/>
            <w:bottom w:w="0" w:type="dxa"/>
            <w:right w:w="10" w:type="dxa"/>
          </w:tblCellMar>
        </w:tblPrEx>
        <w:trPr>
          <w:gridAfter w:val="4"/>
          <w:wAfter w:w="40" w:type="dxa"/>
          <w:trHeight w:val="2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兴业银行天天万利宝稳利6号O款净值型理财产品</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9K209190</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Z7002021000131</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8,940,947,171.27份</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3.40%--3.90%/--</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1" w:type="dxa"/>
          </w:tcPr>
          <w:p>
            <w:pPr>
              <w:pStyle w:val="6"/>
            </w:pPr>
          </w:p>
        </w:tc>
      </w:tr>
      <w:tr>
        <w:tblPrEx>
          <w:tblCellMar>
            <w:top w:w="0" w:type="dxa"/>
            <w:left w:w="10" w:type="dxa"/>
            <w:bottom w:w="0" w:type="dxa"/>
            <w:right w:w="10" w:type="dxa"/>
          </w:tblCellMar>
        </w:tblPrEx>
        <w:trPr>
          <w:gridAfter w:val="4"/>
          <w:wAfter w:w="40" w:type="dxa"/>
          <w:trHeight w:val="2400" w:hRule="exact"/>
        </w:trPr>
        <w:tc>
          <w:tcPr>
            <w:tcW w:w="1" w:type="dxa"/>
          </w:tcPr>
          <w:p>
            <w:pPr>
              <w:pStyle w:val="6"/>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2980"/>
                    <w:gridCol w:w="40"/>
                  </w:tblGrid>
                  <w:tr>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6"/>
                        </w:pP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6"/>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稳利月月增利A款</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9K20919B</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8,458,666,780.23</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稳利月月增利A款B</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9K20919C</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360,235,045.84</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稳利月月增利A款C</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9K20919D</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hint="eastAsia" w:ascii="宋体" w:hAnsi="宋体" w:eastAsia="宋体" w:cs="宋体"/>
                            <w:color w:val="000000"/>
                            <w:sz w:val="21"/>
                          </w:rPr>
                          <w:t>--</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2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400" w:type="dxa"/>
            <w:gridSpan w:val="6"/>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3" w:name="JR_PAGE_ANCHOR_0_4"/>
            <w:bookmarkEnd w:id="3"/>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兴业银行天天万利宝稳利6号O款净值型理财产品2022年半年度报告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2980"/>
                    <w:gridCol w:w="4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6"/>
                        </w:pP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6"/>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稳利月月增利A款D</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9K20919E</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122,045,345.20</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560" w:hRule="atLeast"/>
        </w:trPr>
        <w:tc>
          <w:tcPr>
            <w:tcW w:w="1" w:type="dxa"/>
          </w:tcPr>
          <w:p>
            <w:pPr>
              <w:pStyle w:val="6"/>
            </w:pPr>
          </w:p>
        </w:tc>
        <w:tc>
          <w:tcPr>
            <w:tcW w:w="40" w:type="dxa"/>
            <w:gridSpan w:val="2"/>
          </w:tcPr>
          <w:p>
            <w:pPr>
              <w:pStyle w:val="6"/>
            </w:pPr>
          </w:p>
        </w:tc>
        <w:tc>
          <w:tcPr>
            <w:tcW w:w="10200" w:type="dxa"/>
            <w:gridSpan w:val="11"/>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产品9K20919B自成立日以来，累计净值增长率为4.2760%，年化累计净值增长率为4.0329%。</w:t>
            </w:r>
            <w:r>
              <w:rPr>
                <w:rFonts w:ascii="宋体" w:hAnsi="宋体" w:eastAsia="宋体" w:cs="宋体"/>
                <w:color w:val="000000"/>
                <w:sz w:val="21"/>
              </w:rPr>
              <w:br w:type="textWrapping"/>
            </w:r>
            <w:r>
              <w:rPr>
                <w:rFonts w:ascii="宋体" w:hAnsi="宋体" w:eastAsia="宋体" w:cs="宋体"/>
                <w:color w:val="000000"/>
                <w:sz w:val="21"/>
              </w:rPr>
              <w:t>产品9K20919C自成立日以来，累计净值增长率为3.6140%，年化累计净值增长率为3.6847%。</w:t>
            </w:r>
            <w:r>
              <w:rPr>
                <w:rFonts w:ascii="宋体" w:hAnsi="宋体" w:eastAsia="宋体" w:cs="宋体"/>
                <w:color w:val="000000"/>
                <w:sz w:val="21"/>
              </w:rPr>
              <w:br w:type="textWrapping"/>
            </w:r>
            <w:r>
              <w:rPr>
                <w:rFonts w:ascii="宋体" w:hAnsi="宋体" w:eastAsia="宋体" w:cs="宋体"/>
                <w:color w:val="000000"/>
                <w:sz w:val="21"/>
              </w:rPr>
              <w:t>产品9K20919E自成立日以来，累计净值增长率为0.8568%，年化累计净值增长率为2.9505%。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1.04248</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1.04248</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9,320,751,342.66</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3000" w:hRule="exac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9K20919B</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1.04276</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1.04276</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8,820,361,837.23</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9K20919C</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1.03614</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1.03614</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373,253,933.95</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9K20919D</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hint="eastAsia" w:ascii="宋体" w:hAnsi="宋体" w:eastAsia="宋体" w:cs="宋体"/>
                            <w:color w:val="000000"/>
                            <w:sz w:val="21"/>
                          </w:rPr>
                          <w:t>-</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hint="eastAsia" w:ascii="宋体" w:hAnsi="宋体" w:eastAsia="宋体" w:cs="宋体"/>
                            <w:color w:val="000000"/>
                            <w:sz w:val="21"/>
                          </w:rPr>
                          <w:t>-</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29.11</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9K20919E</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1.04171</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1.04171</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127,135,542.37</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56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90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7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2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Pr>
        <w:tc>
          <w:tcPr>
            <w:tcW w:w="1" w:type="dxa"/>
          </w:tcPr>
          <w:p>
            <w:pPr>
              <w:pStyle w:val="6"/>
              <w:pageBreakBefore/>
            </w:pPr>
            <w:bookmarkStart w:id="4" w:name="JR_PAGE_ANCHOR_0_5"/>
            <w:bookmarkEnd w:id="4"/>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兴业银行天天万利宝稳利6号O款净值型理财产品2022年半年度报告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726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荒，期间</w:t>
            </w:r>
            <w:bookmarkStart w:id="8" w:name="_GoBack"/>
            <w:bookmarkEnd w:id="8"/>
            <w:r>
              <w:rPr>
                <w:rFonts w:ascii="宋体" w:hAnsi="宋体" w:eastAsia="宋体" w:cs="宋体"/>
                <w:color w:val="000000"/>
                <w:sz w:val="21"/>
              </w:rPr>
              <w:t>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30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2"/>
          <w:wAfter w:w="20" w:type="dxa"/>
          <w:trHeight w:val="60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6"/>
            </w:pPr>
          </w:p>
        </w:tc>
      </w:tr>
      <w:tr>
        <w:tblPrEx>
          <w:tblCellMar>
            <w:top w:w="0" w:type="dxa"/>
            <w:left w:w="10" w:type="dxa"/>
            <w:bottom w:w="0" w:type="dxa"/>
            <w:right w:w="10" w:type="dxa"/>
          </w:tblCellMar>
        </w:tblPrEx>
        <w:trPr>
          <w:gridAfter w:val="2"/>
          <w:wAfter w:w="20" w:type="dxa"/>
          <w:trHeight w:val="10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5" w:name="JR_PAGE_ANCHOR_0_6"/>
            <w:bookmarkEnd w:id="5"/>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兴业银行天天万利宝稳利6号O款净值型理财产品2022年半年度报告</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3600" w:hRule="exact"/>
        </w:trPr>
        <w:tc>
          <w:tcPr>
            <w:tcW w:w="1" w:type="dxa"/>
          </w:tcPr>
          <w:p>
            <w:pPr>
              <w:pStyle w:val="6"/>
            </w:pPr>
          </w:p>
        </w:tc>
        <w:tc>
          <w:tcPr>
            <w:tcW w:w="20" w:type="dxa"/>
          </w:tcPr>
          <w:p>
            <w:pPr>
              <w:pStyle w:val="6"/>
            </w:pPr>
          </w:p>
        </w:tc>
        <w:tc>
          <w:tcPr>
            <w:tcW w:w="10700" w:type="dxa"/>
            <w:gridSpan w:val="16"/>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6"/>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22.60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43.63</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10.08</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10.08</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46.29</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46.29</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21.03</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pPr>
                </w:p>
              </w:tc>
            </w:tr>
          </w:tbl>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100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58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54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20" w:type="dxa"/>
          </w:tcPr>
          <w:p>
            <w:pPr>
              <w:pStyle w:val="6"/>
            </w:pPr>
          </w:p>
        </w:tc>
        <w:tc>
          <w:tcPr>
            <w:tcW w:w="20" w:type="dxa"/>
          </w:tcPr>
          <w:p>
            <w:pPr>
              <w:pStyle w:val="6"/>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6"/>
            </w:pPr>
          </w:p>
        </w:tc>
      </w:tr>
      <w:tr>
        <w:tblPrEx>
          <w:tblCellMar>
            <w:top w:w="0" w:type="dxa"/>
            <w:left w:w="10" w:type="dxa"/>
            <w:bottom w:w="0" w:type="dxa"/>
            <w:right w:w="10" w:type="dxa"/>
          </w:tblCellMar>
        </w:tblPrEx>
        <w:trPr>
          <w:trHeight w:val="4840" w:hRule="exact"/>
        </w:trPr>
        <w:tc>
          <w:tcPr>
            <w:tcW w:w="1" w:type="dxa"/>
          </w:tcPr>
          <w:p>
            <w:pPr>
              <w:pStyle w:val="6"/>
            </w:pPr>
          </w:p>
        </w:tc>
        <w:tc>
          <w:tcPr>
            <w:tcW w:w="20" w:type="dxa"/>
          </w:tcPr>
          <w:p>
            <w:pPr>
              <w:pStyle w:val="6"/>
            </w:pPr>
          </w:p>
        </w:tc>
        <w:tc>
          <w:tcPr>
            <w:tcW w:w="20" w:type="dxa"/>
          </w:tcPr>
          <w:p>
            <w:pPr>
              <w:pStyle w:val="6"/>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6"/>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1,301,126,778.27</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13.96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660,307,282.89</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7.08</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工商银行长春分行大额存单09</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499,796,000.00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中国工商银行杭州分行大额存单15</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499,776,500.00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中国工商银行杭州分行大额存单05</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499,737,000.00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中国工商银行贵阳分行大额存单08</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499,735,500.00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453,041,100.00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38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6" w:name="JR_PAGE_ANCHOR_0_7"/>
            <w:bookmarkEnd w:id="6"/>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兴业银行天天万利宝稳利6号O款净值型理财产品2022年半年度报告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800" w:hRule="exact"/>
        </w:trPr>
        <w:tc>
          <w:tcPr>
            <w:tcW w:w="1" w:type="dxa"/>
          </w:tcPr>
          <w:p>
            <w:pPr>
              <w:pStyle w:val="6"/>
            </w:pPr>
          </w:p>
        </w:tc>
        <w:tc>
          <w:tcPr>
            <w:tcW w:w="40" w:type="dxa"/>
            <w:gridSpan w:val="2"/>
          </w:tcPr>
          <w:p>
            <w:pPr>
              <w:pStyle w:val="6"/>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399,968,400.00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269,595,810.00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18天府投资MTN002</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153,958,050.00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1.65</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3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54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18江津华信MTN001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19闽国资MTN001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19镇江城建MTN001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20镇江城建MTN002</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21广州资管MTN001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22海安城建SCP001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5.2 理财产品在报告期内其他关联交易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5.3 理财产品在报告期内中的重大关联交易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40" w:type="dxa"/>
            <w:gridSpan w:val="2"/>
          </w:tcPr>
          <w:p>
            <w:pPr>
              <w:pStyle w:val="6"/>
            </w:pPr>
          </w:p>
        </w:tc>
        <w:tc>
          <w:tcPr>
            <w:tcW w:w="10700" w:type="dxa"/>
            <w:gridSpan w:val="17"/>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6"/>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051010100101200178</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兴业银行天天万利宝稳利6号O款净值型理财产品</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94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7" w:name="JR_PAGE_ANCHOR_0_8"/>
            <w:bookmarkEnd w:id="7"/>
          </w:p>
        </w:tc>
        <w:tc>
          <w:tcPr>
            <w:tcW w:w="3400" w:type="dxa"/>
            <w:gridSpan w:val="6"/>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兴业银行天天万利宝稳利6号O款净值型理财产品2022年半年度报告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400" w:type="dxa"/>
            <w:gridSpan w:val="6"/>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exact"/>
        </w:trPr>
        <w:tc>
          <w:tcPr>
            <w:tcW w:w="1" w:type="dxa"/>
          </w:tcPr>
          <w:p>
            <w:pPr>
              <w:pStyle w:val="6"/>
            </w:pPr>
          </w:p>
        </w:tc>
        <w:tc>
          <w:tcPr>
            <w:tcW w:w="3400" w:type="dxa"/>
            <w:gridSpan w:val="6"/>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tcPr>
          <w:p>
            <w:pPr>
              <w:jc w:val="right"/>
            </w:pPr>
            <w:r>
              <w:rPr>
                <w:rFonts w:ascii="宋体" w:hAnsi="宋体" w:eastAsia="宋体" w:cs="宋体"/>
                <w:color w:val="000000"/>
                <w:sz w:val="21"/>
              </w:rPr>
              <w:t>2022年9月21日</w:t>
            </w:r>
          </w:p>
        </w:tc>
        <w:tc>
          <w:tcPr>
            <w:tcW w:w="1" w:type="dxa"/>
          </w:tcPr>
          <w:p>
            <w:pPr>
              <w:pStyle w:val="6"/>
            </w:pPr>
          </w:p>
        </w:tc>
      </w:tr>
      <w:tr>
        <w:tblPrEx>
          <w:tblCellMar>
            <w:top w:w="0" w:type="dxa"/>
            <w:left w:w="10" w:type="dxa"/>
            <w:bottom w:w="0" w:type="dxa"/>
            <w:right w:w="10" w:type="dxa"/>
          </w:tblCellMar>
        </w:tblPrEx>
        <w:trPr>
          <w:gridAfter w:val="4"/>
          <w:wAfter w:w="40" w:type="dxa"/>
          <w:trHeight w:val="13600" w:hRule="exact"/>
        </w:trPr>
        <w:tc>
          <w:tcPr>
            <w:tcW w:w="1" w:type="dxa"/>
          </w:tcPr>
          <w:p>
            <w:pPr>
              <w:pStyle w:val="6"/>
            </w:pPr>
          </w:p>
        </w:tc>
        <w:tc>
          <w:tcPr>
            <w:tcW w:w="3400" w:type="dxa"/>
            <w:gridSpan w:val="6"/>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400" w:type="dxa"/>
            <w:gridSpan w:val="6"/>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1" w:type="dxa"/>
          </w:tcPr>
          <w:p>
            <w:pPr>
              <w:pStyle w:val="6"/>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docVars>
    <w:docVar w:name="commondata" w:val="eyJoZGlkIjoiZTcxYWVjY2FhZGEzYzllMjU0YTc0ZWEzZWQ4ZDJlMDkifQ=="/>
  </w:docVars>
  <w:rsids>
    <w:rsidRoot w:val="007F2656"/>
    <w:rsid w:val="00546667"/>
    <w:rsid w:val="007F2656"/>
    <w:rsid w:val="008E1E13"/>
    <w:rsid w:val="0944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0"/>
    <w:semiHidden/>
    <w:unhideWhenUsed/>
    <w:qFormat/>
    <w:uiPriority w:val="99"/>
    <w:pPr>
      <w:tabs>
        <w:tab w:val="center" w:pos="4153"/>
        <w:tab w:val="right" w:pos="8306"/>
      </w:tabs>
      <w:snapToGrid w:val="0"/>
      <w:jc w:val="left"/>
    </w:pPr>
    <w:rPr>
      <w:sz w:val="18"/>
      <w:szCs w:val="18"/>
    </w:rPr>
  </w:style>
  <w:style w:type="paragraph" w:styleId="3">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EMPTY_CELL_STYLE"/>
    <w:qFormat/>
    <w:uiPriority w:val="0"/>
    <w:rPr>
      <w:rFonts w:ascii="SansSerif" w:hAnsi="SansSerif" w:eastAsia="SansSerif" w:cs="SansSerif"/>
      <w:color w:val="000000"/>
      <w:sz w:val="1"/>
      <w:lang w:val="en-US" w:eastAsia="zh-CN" w:bidi="ar-SA"/>
    </w:rPr>
  </w:style>
  <w:style w:type="paragraph" w:customStyle="1" w:styleId="7">
    <w:name w:val="Table_TH"/>
    <w:qFormat/>
    <w:uiPriority w:val="0"/>
    <w:rPr>
      <w:rFonts w:ascii="SansSerif" w:hAnsi="SansSerif" w:eastAsia="SansSerif" w:cs="SansSerif"/>
      <w:color w:val="000000"/>
      <w:lang w:val="en-US" w:eastAsia="zh-CN" w:bidi="ar-SA"/>
    </w:rPr>
  </w:style>
  <w:style w:type="paragraph" w:customStyle="1" w:styleId="8">
    <w:name w:val="Table_CH"/>
    <w:qFormat/>
    <w:uiPriority w:val="0"/>
    <w:rPr>
      <w:rFonts w:ascii="SansSerif" w:hAnsi="SansSerif" w:eastAsia="SansSerif" w:cs="SansSerif"/>
      <w:color w:val="000000"/>
      <w:lang w:val="en-US" w:eastAsia="zh-CN" w:bidi="ar-SA"/>
    </w:rPr>
  </w:style>
  <w:style w:type="paragraph" w:customStyle="1" w:styleId="9">
    <w:name w:val="Table_TD"/>
    <w:qFormat/>
    <w:uiPriority w:val="0"/>
    <w:rPr>
      <w:rFonts w:ascii="SansSerif" w:hAnsi="SansSerif" w:eastAsia="SansSerif" w:cs="SansSerif"/>
      <w:color w:val="000000"/>
      <w:lang w:val="en-US" w:eastAsia="zh-CN" w:bidi="ar-SA"/>
    </w:rPr>
  </w:style>
  <w:style w:type="paragraph" w:customStyle="1" w:styleId="10">
    <w:name w:val="Table_CD"/>
    <w:qFormat/>
    <w:uiPriority w:val="0"/>
    <w:rPr>
      <w:rFonts w:ascii="SansSerif" w:hAnsi="SansSerif" w:eastAsia="SansSerif" w:cs="SansSerif"/>
      <w:color w:val="000000"/>
      <w:lang w:val="en-US" w:eastAsia="zh-CN" w:bidi="ar-SA"/>
    </w:rPr>
  </w:style>
  <w:style w:type="paragraph" w:customStyle="1" w:styleId="11">
    <w:name w:val="Table 3_TH"/>
    <w:qFormat/>
    <w:uiPriority w:val="0"/>
    <w:rPr>
      <w:rFonts w:ascii="SansSerif" w:hAnsi="SansSerif" w:eastAsia="SansSerif" w:cs="SansSerif"/>
      <w:color w:val="000000"/>
      <w:lang w:val="en-US" w:eastAsia="zh-CN" w:bidi="ar-SA"/>
    </w:rPr>
  </w:style>
  <w:style w:type="paragraph" w:customStyle="1" w:styleId="12">
    <w:name w:val="Table 3_CH"/>
    <w:qFormat/>
    <w:uiPriority w:val="0"/>
    <w:rPr>
      <w:rFonts w:ascii="SansSerif" w:hAnsi="SansSerif" w:eastAsia="SansSerif" w:cs="SansSerif"/>
      <w:color w:val="000000"/>
      <w:lang w:val="en-US" w:eastAsia="zh-CN" w:bidi="ar-SA"/>
    </w:rPr>
  </w:style>
  <w:style w:type="paragraph" w:customStyle="1" w:styleId="13">
    <w:name w:val="Table 3_TD"/>
    <w:qFormat/>
    <w:uiPriority w:val="0"/>
    <w:rPr>
      <w:rFonts w:ascii="SansSerif" w:hAnsi="SansSerif" w:eastAsia="SansSerif" w:cs="SansSerif"/>
      <w:color w:val="000000"/>
      <w:lang w:val="en-US" w:eastAsia="zh-CN" w:bidi="ar-SA"/>
    </w:rPr>
  </w:style>
  <w:style w:type="paragraph" w:customStyle="1" w:styleId="14">
    <w:name w:val="Table 4_TH"/>
    <w:qFormat/>
    <w:uiPriority w:val="0"/>
    <w:rPr>
      <w:rFonts w:ascii="SansSerif" w:hAnsi="SansSerif" w:eastAsia="SansSerif" w:cs="SansSerif"/>
      <w:color w:val="000000"/>
      <w:lang w:val="en-US" w:eastAsia="zh-CN" w:bidi="ar-SA"/>
    </w:rPr>
  </w:style>
  <w:style w:type="paragraph" w:customStyle="1" w:styleId="15">
    <w:name w:val="Table 4_CH"/>
    <w:qFormat/>
    <w:uiPriority w:val="0"/>
    <w:rPr>
      <w:rFonts w:ascii="SansSerif" w:hAnsi="SansSerif" w:eastAsia="SansSerif" w:cs="SansSerif"/>
      <w:color w:val="000000"/>
      <w:lang w:val="en-US" w:eastAsia="zh-CN" w:bidi="ar-SA"/>
    </w:rPr>
  </w:style>
  <w:style w:type="paragraph" w:customStyle="1" w:styleId="16">
    <w:name w:val="Table 4_TD"/>
    <w:qFormat/>
    <w:uiPriority w:val="0"/>
    <w:rPr>
      <w:rFonts w:ascii="SansSerif" w:hAnsi="SansSerif" w:eastAsia="SansSerif" w:cs="SansSerif"/>
      <w:color w:val="000000"/>
      <w:lang w:val="en-US" w:eastAsia="zh-CN" w:bidi="ar-SA"/>
    </w:rPr>
  </w:style>
  <w:style w:type="paragraph" w:customStyle="1" w:styleId="17">
    <w:name w:val="Table 1_TH"/>
    <w:qFormat/>
    <w:uiPriority w:val="0"/>
    <w:rPr>
      <w:rFonts w:ascii="SansSerif" w:hAnsi="SansSerif" w:eastAsia="SansSerif" w:cs="SansSerif"/>
      <w:color w:val="000000"/>
      <w:lang w:val="en-US" w:eastAsia="zh-CN" w:bidi="ar-SA"/>
    </w:rPr>
  </w:style>
  <w:style w:type="paragraph" w:customStyle="1" w:styleId="18">
    <w:name w:val="Table 1_CH"/>
    <w:qFormat/>
    <w:uiPriority w:val="0"/>
    <w:rPr>
      <w:rFonts w:ascii="SansSerif" w:hAnsi="SansSerif" w:eastAsia="SansSerif" w:cs="SansSerif"/>
      <w:color w:val="000000"/>
      <w:lang w:val="en-US" w:eastAsia="zh-CN" w:bidi="ar-SA"/>
    </w:rPr>
  </w:style>
  <w:style w:type="paragraph" w:customStyle="1" w:styleId="19">
    <w:name w:val="Table 1_TD"/>
    <w:qFormat/>
    <w:uiPriority w:val="0"/>
    <w:rPr>
      <w:rFonts w:ascii="SansSerif" w:hAnsi="SansSerif" w:eastAsia="SansSerif" w:cs="SansSerif"/>
      <w:color w:val="000000"/>
      <w:lang w:val="en-US" w:eastAsia="zh-CN" w:bidi="ar-SA"/>
    </w:rPr>
  </w:style>
  <w:style w:type="paragraph" w:customStyle="1" w:styleId="20">
    <w:name w:val="Table 2_TH"/>
    <w:qFormat/>
    <w:uiPriority w:val="0"/>
    <w:rPr>
      <w:rFonts w:ascii="SansSerif" w:hAnsi="SansSerif" w:eastAsia="SansSerif" w:cs="SansSerif"/>
      <w:color w:val="000000"/>
      <w:lang w:val="en-US" w:eastAsia="zh-CN" w:bidi="ar-SA"/>
    </w:rPr>
  </w:style>
  <w:style w:type="paragraph" w:customStyle="1" w:styleId="21">
    <w:name w:val="Table 2_CH"/>
    <w:qFormat/>
    <w:uiPriority w:val="0"/>
    <w:rPr>
      <w:rFonts w:ascii="SansSerif" w:hAnsi="SansSerif" w:eastAsia="SansSerif" w:cs="SansSerif"/>
      <w:color w:val="000000"/>
      <w:lang w:val="en-US" w:eastAsia="zh-CN" w:bidi="ar-SA"/>
    </w:rPr>
  </w:style>
  <w:style w:type="paragraph" w:customStyle="1" w:styleId="22">
    <w:name w:val="Table 2_TD"/>
    <w:qFormat/>
    <w:uiPriority w:val="0"/>
    <w:rPr>
      <w:rFonts w:ascii="SansSerif" w:hAnsi="SansSerif" w:eastAsia="SansSerif" w:cs="SansSerif"/>
      <w:color w:val="000000"/>
      <w:lang w:val="en-US" w:eastAsia="zh-CN" w:bidi="ar-SA"/>
    </w:rPr>
  </w:style>
  <w:style w:type="paragraph" w:customStyle="1" w:styleId="23">
    <w:name w:val="Table 5_TH"/>
    <w:qFormat/>
    <w:uiPriority w:val="0"/>
    <w:rPr>
      <w:rFonts w:ascii="SansSerif" w:hAnsi="SansSerif" w:eastAsia="SansSerif" w:cs="SansSerif"/>
      <w:color w:val="000000"/>
      <w:lang w:val="en-US" w:eastAsia="zh-CN" w:bidi="ar-SA"/>
    </w:rPr>
  </w:style>
  <w:style w:type="paragraph" w:customStyle="1" w:styleId="24">
    <w:name w:val="Table 5_CH"/>
    <w:qFormat/>
    <w:uiPriority w:val="0"/>
    <w:rPr>
      <w:rFonts w:ascii="SansSerif" w:hAnsi="SansSerif" w:eastAsia="SansSerif" w:cs="SansSerif"/>
      <w:color w:val="000000"/>
      <w:lang w:val="en-US" w:eastAsia="zh-CN" w:bidi="ar-SA"/>
    </w:rPr>
  </w:style>
  <w:style w:type="paragraph" w:customStyle="1" w:styleId="25">
    <w:name w:val="Table 5_TD"/>
    <w:qFormat/>
    <w:uiPriority w:val="0"/>
    <w:rPr>
      <w:rFonts w:ascii="SansSerif" w:hAnsi="SansSerif" w:eastAsia="SansSerif" w:cs="SansSerif"/>
      <w:color w:val="000000"/>
      <w:lang w:val="en-US" w:eastAsia="zh-CN" w:bidi="ar-SA"/>
    </w:rPr>
  </w:style>
  <w:style w:type="paragraph" w:customStyle="1" w:styleId="26">
    <w:name w:val="Table 6_TH"/>
    <w:qFormat/>
    <w:uiPriority w:val="0"/>
    <w:rPr>
      <w:rFonts w:ascii="SansSerif" w:hAnsi="SansSerif" w:eastAsia="SansSerif" w:cs="SansSerif"/>
      <w:color w:val="000000"/>
      <w:lang w:val="en-US" w:eastAsia="zh-CN" w:bidi="ar-SA"/>
    </w:rPr>
  </w:style>
  <w:style w:type="paragraph" w:customStyle="1" w:styleId="27">
    <w:name w:val="Table 6_CH"/>
    <w:qFormat/>
    <w:uiPriority w:val="0"/>
    <w:rPr>
      <w:rFonts w:ascii="SansSerif" w:hAnsi="SansSerif" w:eastAsia="SansSerif" w:cs="SansSerif"/>
      <w:color w:val="000000"/>
      <w:lang w:val="en-US" w:eastAsia="zh-CN" w:bidi="ar-SA"/>
    </w:rPr>
  </w:style>
  <w:style w:type="paragraph" w:customStyle="1" w:styleId="28">
    <w:name w:val="Table 6_TD"/>
    <w:qFormat/>
    <w:uiPriority w:val="0"/>
    <w:rPr>
      <w:rFonts w:ascii="SansSerif" w:hAnsi="SansSerif" w:eastAsia="SansSerif" w:cs="SansSerif"/>
      <w:color w:val="000000"/>
      <w:lang w:val="en-US" w:eastAsia="zh-CN" w:bidi="ar-SA"/>
    </w:rPr>
  </w:style>
  <w:style w:type="character" w:customStyle="1" w:styleId="29">
    <w:name w:val="页眉 Char"/>
    <w:basedOn w:val="5"/>
    <w:link w:val="3"/>
    <w:semiHidden/>
    <w:qFormat/>
    <w:uiPriority w:val="99"/>
    <w:rPr>
      <w:sz w:val="18"/>
      <w:szCs w:val="18"/>
    </w:rPr>
  </w:style>
  <w:style w:type="character" w:customStyle="1" w:styleId="3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3581</Words>
  <Characters>4504</Characters>
  <Lines>43</Lines>
  <Paragraphs>12</Paragraphs>
  <TotalTime>0</TotalTime>
  <ScaleCrop>false</ScaleCrop>
  <LinksUpToDate>false</LinksUpToDate>
  <CharactersWithSpaces>4645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2022-09-13T03:14:00Z</dcterms:created>
  <dc:creator>lzy</dc:creator>
  <cp:lastModifiedBy>lzy</cp:lastModifiedBy>
  <dcterms:modified xsi:type="dcterms:W3CDTF">2022-09-16T05:17:07Z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14347C444ADE4CD2B8D95D3A6B39853B</vt:lpwstr>
  </property>
</Properties>
</file>