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兴业银行添利5号净值型理财产品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理财份额投资人信息</w:t>
              <w:br/>
              <w:t xml:space="preserve">     8.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兴业银行添利5号净值型理财产品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9B319021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22,706,862,230.84份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通知存款七天+浮动基数0%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报告期内，9B319021七日年化收益率均值2.8416%。同期业绩比较基准如下：</w:t>
            </w:r>
          </w:p>
        </w:tc>
        <w:tc>
          <w:tcPr>
     </w:tcPr>
          <w:p>
            <w:pPr>
              <w:pStyle w:val="EMPTY_CELL_STYLE"/>
            </w:pPr>
          </w:p>
        </w:tc>
      </w:tr>
      <w:tr>
        <w:trPr>
          <w:trHeight w:hRule="exact" w:val="1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800"/>
        <w:gridCol w:w="600"/>
        <w:gridCol w:w="2000"/>
        <w:gridCol w:w="2000"/>
        <w:gridCol w:w="800"/>
        <w:gridCol w:w="2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2000"/>
              <w:gridCol w:w="4000"/>
              <w:gridCol w:w="46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2022-01-01至2022-06-30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600"/>
                    <w:gridCol w:w="46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万份收益</w:t>
            </w:r>
          </w:p>
        </w:tc>
        <w:tc>
          <w:tcPr>
            <w:gridSpan w:val="2"/>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七日年化收益率</w:t>
            </w: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0.7224</w:t>
            </w: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2.6650%</w:t>
            </w: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22,706,862,230.84</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汪锦女士，上海财经大学经济学硕士，国际金融理财师（CFP），中级经济师职称。银行理财产品创设、投资从业11年。 2005年任上海银行金融市场部同业“利多系列”产品投资经理；2013年加入兴业银行总行资产管理部历任同业“稳增1号”、“稳增2号”投资经理。2016年起，负责资产管理部流动性管理，管理总规模逾万亿，擅长大资金的资产配置和流动性管理；2019年转入兴银理财，现担任兴业银行添利5号净值型理财产品、兴业银行“现金宝4号”私人银行类人民币理财产品、兴银理财添利9号净值型理财产品和兴银理财添利10号净值型理财产品投资经理。</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6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上半年长端利率整体在多重因素影响下呈震荡走势，10Y国债收益率在2.65-2.85%区间窄幅波动，1月受央行降息和信贷弱化影响下最低下行至2.68%，2-3月中旬信贷开门红和部分城市地产需求端政策松绑引发宽信用预期，收益率上行至阶段高点2.85%。3月下旬以来受疫情影响供应链受损、经济预期转弱，收益率下行至2.74%，后续降准不及预期叠加上海疫情出现拐点，4月底重新站上2.85%。5月尽管政策会议稳增长暖风频吹，但受社融坍塌、经济数据弱、5Y LPR超预期下调等影响，收益率震荡下行至2.7%。6月以来上海复工复产，在季度末资金面收紧、宽财政预期升温、PMI指数回暖的背景下，利率再次上行至2.85%附近。流动性方面，年初以来稳增长基调下货币政策先行，降准、降息等总量政策和结构性货币政策并举，整体呈现流动性宽松的格局。二季度受降准及央行上缴利润、财政投放等影响，流动性更加宽松，隔夜利率长期处于1.5%以下。长端震荡承压、短端交易拥挤，收益率曲线陡峭化。</w:t>
              <w:br/>
              <w:br/>
              <w:br/>
              <w:t xml:space="preserve">二 前期运作回顾</w:t>
              <w:br/>
              <w:t xml:space="preserve">    报告期内，本产品始终将保持流动性安全和防范信用风险作为第一要务，在此基础上通过稳健的投资风格实现相对稳定的收益。</w:t>
              <w:br/>
              <w:t xml:space="preserve">    报告期内，本产品规模相对稳定、运作平稳。前期根据我们对市场的预判，在二季度流动性相对宽松、短端收益率中枢整体下移的格局下，投资上积极把握4月初、6月初的买入时点，主要配置了同业存单、高等级信用债、ABS等资产品种，同时以隔夜正回购为主的杠杆策略为产品增厚收益。报告期内，本产品七日年化收益率均值2.73%，收益率表现较好。</w:t>
              <w:br/>
              <w:br/>
              <w:t xml:space="preserve">三 后期投资策略</w:t>
              <w:br/>
              <w:t xml:space="preserve">    下半年随着疫情缓解、政策加力后经济逐渐复苏，预计流动性将有所收敛，随着宽信用的持续推进，超储消耗加快，隔夜利率也会随之抬升。当前货币市场利率大多基于隔夜1.5%以下定价，收益率绝对水平和信用利差处于历</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史低位。而市场普遍预期下半年的市场利率将向政策利率回归，整体利率中枢会向上抬升。随着本轮疫情告一段落，稳增长政策下宏观经济整体缓慢复苏，叠加海外通胀和加息缩表扰动，债市基本面承压。但债券市场的配置需求仍然旺盛，同时市场对于政策的力度和效果、利率上行的节奏以及曲线形态的变化的预期也存在分歧，市场可能仍然延续窄幅波动的格局。</w:t>
              <w:br/>
              <w:t xml:space="preserve">    下阶段我们会深入研究分析债券市场收益率的变化趋势，在此基础上制定科学有效的投资策略。久期策略上，我们会权衡资产票息收入和资本利得，保持合理的配置久期。资产品种上，我们会综合考量各投资品种的风险收益特征，保持安全性和流动性优先、兼顾收益性的稳健投资策略。</w:t>
              <w:br/>
              <w:t xml:space="preserve">    此外，结合已颁布的《关于规范现金管理类理财产品管理有关事项的通知》，我们将持续按照监管部门的要求，对产品组合进行调整和优化。</w:t>
              <w:br/>
              <w:br/>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8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Borders>
                          <w:right w:val="single" w:sz="4" w:space="0" w:color="000000"/>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22CSFD59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Z存放同业（线上）20210917001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Z存放同业（线上）20220214003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Z存放同业（线上）20220316003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Z存放同业（线上）20211012004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Z存放同业（线上）20220421003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Z存放同业（线上）20210805003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w:t>
                        </w:r>
                      </w:p>
                    </w:tc>
                  </w:tr>
                </w:tbl>
                <w:p>
                  <w:pPr>
                    <w:pStyle w:val="EMPTY_CELL_STYLE"/>
                  </w:pPr>
                </w:p>
              </w:tc>
            </w:tr>
          </w:tbl>
          <w:p>
            <w:pPr>
              <w:pStyle w:val="EMPTY_CELL_STYLE"/>
            </w:pPr>
          </w:p>
        </w:tc>
        <w:tc>
          <w:tcPr>
     </w:tcPr>
          <w:p>
            <w:pPr>
              <w:pStyle w:val="EMPTY_CELL_STYLE"/>
            </w:pPr>
          </w:p>
        </w:tc>
      </w:tr>
      <w:tr>
        <w:trPr>
          <w:trHeight w:hRule="exact" w:val="3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18赣国资MTN002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18市北高新MTN001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19晋焦煤MTN004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20常城建PPN003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20海沧投资MTN001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20湖北租赁债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20津能源MTN001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20联发集MTN003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20闽电子MTN001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20徐州新盛PPN001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21百业源SCP002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21湖北租赁债01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21华夏租赁债01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21中航租赁MTN002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22楚天智能SCP001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00"/>
        <w:gridCol w:w="2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兴业银行添利5号净值型理财产品2022年半年度报告</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22格盟SCP003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22广州医药SCP001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22江苏资产SCP001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22四川路桥CP001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22新能2号ABN002优先(碳中和债)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22沣盈3号ABN002优先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9B319021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051010100100810699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兴业理财托管专户添利5号净值型理财产品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7.理财份额投资人信息</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jc w:val="left"/>
            </w:pPr>
            <w:r>
              <w:rPr>
                <w:rFonts w:ascii="宋体" w:hAnsi="宋体" w:eastAsia="宋体" w:cs="宋体"/>
                <w:color w:val="000000"/>
                <w:sz w:val="20"/>
              </w:rPr>
              <w:t xml:space="preserve"> 7.1期末现金管理类产品前十大份额投资人情况</w:t>
            </w:r>
          </w:p>
        </w:tc>
        <w:tc>
          <w:tcPr>
     </w:tcPr>
          <w:p>
            <w:pPr>
              <w:pStyle w:val="EMPTY_CELL_STYLE"/>
            </w:pPr>
          </w:p>
        </w:tc>
      </w:tr>
      <w:tr>
        <w:trPr>
          <w:trHeight w:hRule="exact" w:val="1800"/>
        </w:trPr>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投资者类别</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持有份额（份）</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占总份额占比（%）</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2,442,981,746.76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10.7598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1,102,901,270.84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4.8576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140"/>
        <w:gridCol w:w="16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兴业银行添利5号净值型理财产品2022年半年度报告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400"/>
              <w:gridCol w:w="3200"/>
              <w:gridCol w:w="3200"/>
              <w:gridCol w:w="30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1,003,955,047.00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4.4218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805,635,815.72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3.5483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746,760,631.97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604,596,980.66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547,033,220.18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2.4093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503,395,796.55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2.2171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502,285,258.29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2.2123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400"/>
                    <w:gridCol w:w="1400"/>
                  </w:tblGrid>
                  <w:tr>
                    <w:trPr>
                      <w:trHeight w:hRule="atLeast" w:val="580"/>
                    </w:trPr>
                    <w:tc>
                      <w:tcPr>
                        <w:tcBorders>
                          <w:left w:val="single" w:sz="8" w:space="0" w:color="000000"/>
                        </w:tcBorders>
                        <w:tcMar>
                          <w:top w:w="20" w:type="dxa"/>
                          <w:left w:w="20" w:type="dxa"/>
                          <w:bottom w:w="20" w:type="dxa"/>
                          <w:right w:w="2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机构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200"/>
                    <w:gridCol w:w="3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2.2022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8.影响理财份额投资人决策的其他重要信息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8.1报告期内单一投资者持有产品份额达到或者超过该产品总份额20%的情形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c>
          <w:tcPr>
     </w:tcPr>
          <w:p>
            <w:pPr>
              <w:pStyle w:val="EMPTY_CELL_STYLE"/>
            </w:pPr>
          </w:p>
        </w:tc>
      </w:tr>
      <w:tr>
        <w:trPr>
          <w:trHeight w:hRule="exact" w:val="6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