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兴银理财兴动多策略2号净值型理财产品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505,880,895.8份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505,880,895.80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产品9K21602A自成立日以来，累计净值增长率为5.4230%，年化累计净值增长率为4.5608%。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533,312,360.06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533,312,360.06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俄乌战争的爆发导致石油价格高企，推动全球通胀爆发，给各国经济带来压力。3-5月的上海疫情又导致我国经济挖深坑，影响不低于武汉疫情。权益市场年初估值过高，在利率见底后难以维持，持续下跌也导致市场人气涣散。之后疫情加剧了波动，金融委发声建立金融底后在上海部分复工后开始反弹，新能源汽车产业链和新冠口服药等板块表现出色。债市年初在最后一次降息的预期下有一轮继续下行，但随后因经济太差，宽信用预期渐起，叠加社融数据高增的验证，利率开始上行。疫情期间也经历了先下后上，先因疫情对经济悲观，随后因疫情消退对疫后恢复的信心。但整体资金利率较低，市场对信用利差的压缩较有信心。本报告期内，本组合根据市场情况适当调整债券持仓，利用利率衍生品对冲久期风险。对权益资产适当配置并积极调整结构。本组合净值在本报告期内表现较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141,296,747.91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30,391,320.00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22张公G3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29,905,050.00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21张保实业MTN003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20,239,160.00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20,200,520.00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21港务02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20,144,360.00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21杭州湾新PPN001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20,133,480.00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22杭州交投MTN001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22武汉车都PPN001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20,083,460.00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22新田投资MTN001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