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天天万利宝稳利4号净值型理财产品A款</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天天万利宝稳利4号净值型理财产品A款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1,437,067,105.07份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3.90%--4.40%/4.40%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产品9K218062自成立日以来，累计净值增长率为16.1830%，年化累计净值增长率为4.5860%。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1.02913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1.16183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1,478,935,513.20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22晋大同煤矿ZR001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Z京-同业借款20220228008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199,969,991.96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Z浙-同业借款20220218006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99,985,620.10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Z同业借款20220121002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99,956,957.33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70,000,305.00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18九江银行二级02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51,511,650.00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21兴业消费金融债01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40,713,080.00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40,227,000.00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39,785,280.00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20富和建设MTN001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30,407,940.00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22晋大同煤矿ZR001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22西安高新PPN001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051010100100735186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兴业银行理财托管专户天天万利宝稳利4号A款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