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5,781,469,759.89份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产品9K218067自成立日以来，累计净值增长率为13.1310%，年化累计净值增长率为4.5301%。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1.04169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1.13131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6,022,494,097.36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云南信托-好景11号单一资金信托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510,517,985.57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400,368,540.08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305,714,700.00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15国开18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299,098,460.00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206,348,643.37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198,866,400.00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180,525,240.00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旭升股份股票质押融资业务（旭晟控股1.5亿）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149,999,850.00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