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兴银理财睿盈优选平衡3号混合类净值型理财产品2022年半年度报告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兴银理财睿盈优选平衡3号混合类净值型理财产品</w:t>
              <w:br/>
              <w:t xml:space="preserve">2022年半年度报告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报告送出日期：2022年9月21日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兴银理财睿盈优选平衡3号混合类净值型理财产品2022年半年度报告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 </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兴银理财睿盈优选平衡3号混合类净值型理财产品2022年半年度报告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兴银理财睿盈优选平衡3号混合类净值型理财产品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9K220003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Z7002020000076</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混合类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1,120,253,537.46份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2.00%--8.00%/业绩比较基准上限</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R3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29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2600"/>
        <w:gridCol w:w="800"/>
        <w:gridCol w:w="1700"/>
        <w:gridCol w:w="300"/>
        <w:gridCol w:w="2000"/>
        <w:gridCol w:w="400"/>
        <w:gridCol w:w="2400"/>
        <w:gridCol w:w="400"/>
        <w:gridCol w:w="10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9"/>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兴银理财睿盈优选平衡3号混合类净值型理财产品2022年半年度报告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9"/>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产品9K220003自成立日以来，累计净值增长率为8.1490%，年化累计净值增长率为3.8133%。</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估值日期</w:t>
            </w: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产品份额净值</w:t>
            </w:r>
          </w:p>
        </w:tc>
        <w:tc>
          <w:tcPr>
            <w:gridSpan w:val="3"/>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产品累计净值 </w:t>
            </w: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产品资产净值</w:t>
            </w:r>
          </w:p>
        </w:tc>
        <w:tc>
          <w:tcPr>
     </w:tcPr>
          <w:p>
            <w:pPr>
              <w:pStyle w:val="EMPTY_CELL_STYLE"/>
            </w:pPr>
          </w:p>
        </w:tc>
        <w:tc>
          <w:tcPr>
     </w:tcPr>
          <w:p>
            <w:pPr>
              <w:pStyle w:val="EMPTY_CELL_STYLE"/>
            </w:pPr>
          </w:p>
        </w:tc>
      </w:tr>
      <w:tr>
        <w:trPr>
          <w:trHeight w:hRule="atLeast" w:val="600"/>
        </w:trPr>
        <w:tc>
          <w:tcPr>
     </w:tcPr>
          <w:p>
            <w:pPr>
              <w:pStyle w:val="EMPTY_CELL_STYLE"/>
            </w:pPr>
          </w:p>
        </w:tc>
        <w:tc>
          <w:tcPr>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2022年6月30日</w:t>
            </w: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1.05149</w:t>
            </w:r>
          </w:p>
        </w:tc>
        <w:tc>
          <w:tcPr>
            <w:gridSpan w:val="3"/>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1.08149</w:t>
            </w: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1,177,930,793.00</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gridSpan w:val="9"/>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逄博先生，上海交通大学金融硕士，上海交通大学数学与应用数学学士，拥有3年多债券投资交易经验。2018年加入兴业银行资产管理部，现任兴银理财固定收益部投资经理，主要负责债券投资以及固收产品投资管理工作。</w:t>
              <w:br/>
              <w:t xml:space="preserve">    周宇先生，复旦大学金融学硕士、北京大学金融学学士，8年FOF/MOM从业经验。2016年加入兴业银行资产管理部权益投资团队担任投资经理。曾任工商银行私人银行部权益投资经理</w:t>
            </w: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7000"/>
        </w:trPr>
        <w:tc>
          <w:tcPr>
     </w:tcPr>
          <w:p>
            <w:pPr>
              <w:pStyle w:val="EMPTY_CELL_STYLE"/>
            </w:pPr>
          </w:p>
        </w:tc>
        <w:tc>
          <w:tcPr>
            <w:gridSpan w:val="9"/>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一、2022年上半年投资策略与运作回顾</w:t>
              <w:br/>
              <w:t xml:space="preserve">    固收方面，2022年上半年，长端利率整体震荡，短券表现较好，曲线趋于陡峭，10年国债、3年AAA、1年AAA利率较上年末分别上行5bp、上行4bp和下行33bp，各等级和期限信用利差收窄为主。节奏来看，1月中旬央行宣布降息，货币宽松政策进一步落地，带动长端利率在春节前逐步走低，进入2月，部分地区地产政策出现松动，债市发酵宽信用+春季复苏预期，3月国内股市下跌造成理财固收+产品被赎回，加剧市场调整，10年国债利率上行20-30bp至2.85%左右。3月末至5月中下旬，经济恢复过程被局部疫情推后，货币政策保持宽松，信贷需求不足，债市出现一轮资产荒，期间流动性宽裕的现实与对宽货币预期的谨慎，使得债市收益率曲线趋于陡峭化，10年国债收益率在2.7%-2.85%区间窄幅震荡，1年期存单利率从2.6%趋势下行，一度降至2.25%附近。6月随着上海等地解封，市场逐步交易复苏行情，但资金面仍宽松，长端利率盘整上行。</w:t>
              <w:br/>
              <w:t xml:space="preserve">    产品运作方面，考虑到偏松的货币政策、较弱的经济基本面预期、多地散发的疫情等因素，上半年整体以震荡偏强的市场运作思路来调整组合久期和杠杆等。一季度考虑到降息兑现后利率下行的空间整体有限，产品整体稳健操作，组合久期整体有所下降，二季度随着上海疫情影响加剧，组合适当提高久期。在券种具体操作方面，主要跟踪利差的变动，进行积极调仓，在信用利差显著走扩的情况下，增持了3年内信用债、有所超跌的3-5年大行二级资本债。</w:t>
              <w:br/>
              <w:t xml:space="preserve">    权益方面，2022年整体是宏观因素多且复杂的一年。宏观方面，国内地产数据持续不振，宏观经济下行压力较大，海外流动性收缩，资源品价格居高不下，通胀压力不断增大；A股市场，近两年赛道基金发行多，赛道估值较高。诸多因素导致A股阶段性熊市特征明显。之后亦受地缘事件、疫情反复影响，A股4月进入急跌状态。至4月末政策释放利好，市场企稳，进入反弹，至今偏成长行业反弹较多，出现轮动震荡特征。</w:t>
              <w:br/>
              <w:t xml:space="preserve">    二、下半年投资策略</w:t>
              <w:br/>
              <w:t xml:space="preserve">    固收方面，6月末以来，长端利率出现较快上行，主要是由于疫情影响消退，市场围绕疫后经济复苏开展交易，财政政策加码亦受到关注。考虑到前期政策靠前发力，复工加速，经济从底部回升，短期内修复斜率可能会比较</w:t>
            </w: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兴银理财睿盈优选平衡3号混合类净值型理财产品2022年半年度报告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26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高，外围仍处于加息环境中，内外因素对债市都偏空，另外市场关注资金面向中性收敛的压力，以上均压制长端利率的表现。市场短期仍面临调整的压力。</w:t>
              <w:br/>
              <w:t xml:space="preserve">    不过我们认为债市整体调整幅度不会太大，经济的持续性修复取决于疫情和地产的发展，还依赖居民收入预期和杠杆行为、财政政策的增量措施、线下消费场景的恢复等，考虑到地产周期和信用周期弹性减弱，债务杠杆可能提升缓慢，货币政策可能偏宽松的资金面，债市调整幅度有限。若财政政策不超预期加码，收益率调整可能是机会，尤其是期限利差压缩的机会。</w:t>
              <w:br/>
              <w:t xml:space="preserve">    利率估值方面，当前绝对水平并不高，考虑到利率中枢下降，有其合理性。各投资机构的久期位于中位数，显示投资者情绪并不极端。</w:t>
              <w:br/>
              <w:t xml:space="preserve">基于上述对后市的判断，产品将继续保持稳健的投资风格。1、发挥票息策略优势，维持中性偏低的杠杆水平与中性偏低的组合久期。2、震荡思路对待，把握住利率反弹时的配置机会。3、关注收益率曲线平坦化的可能。4、关注“稳增长”政策加码、通胀对债市的风险。</w:t>
              <w:br/>
              <w:t xml:space="preserve">    权益方面，展望后期，随着市场从底部反弹，市场逐步从一个危机模式过渡到正常基本面和流动性驱动的市场环境中。对于相对收益产品而言，此时可以沿着正常的宏观策略分析框架进行操作，通过结构的选择和品种的选择可以开始创造超额收益，而无需通过大幅仓位调整来避险。展望季度维度而言，短期经济数据、尤其是汽车和地产的数据表现出了显著的疫后修复态势，短期较强，但对于后续整体预期仍然较低，经济复苏可能仍然一波三折。外部因素看，联储后续加息节奏以及美国经济衰退的预期开始相互角力。总体而言，如果经济预期开始转暖，那么市场后续大概率将维持较好的投资机会，当前可能仍然是一个反弹的格局，因此在仓位上会保持灵活操作。板块上，由于成长板块已经反弹较多，前几周已经开始适度均衡，后续拟维持均衡配置，适度灵活操作。总体而言，我们认为今年仍然是宏观较为复杂的一年，因此在操作上仍然会保持灵活、适度逆向，均衡配置。</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    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2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兴银理财睿盈优选平衡3号混合类净值型理财产品2022年半年度报告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8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14.51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48.11</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买入返售金融资产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0.66</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19.61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21.79</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权益投资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4.26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4.26</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25.07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25.18</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36.55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5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c>
          <w:tcPr>
     </w:tcPr>
          <w:p>
            <w:pPr>
              <w:pStyle w:val="EMPTY_CELL_STYLE"/>
            </w:pPr>
          </w:p>
        </w:tc>
      </w:tr>
      <w:tr>
        <w:trPr>
          <w:trHeight w:hRule="exact" w:val="3640"/>
        </w:trPr>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新华资产-明鑫四号资产管理产品</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431,213,492.78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36.61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光大优1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50,210,400.00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4.26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20京国资MTN002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40,486,320.00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3.44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20诚通控股MTN001A</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30,402,300.00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20京国资MTN003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20,232,620.00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1.72</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兴银理财睿盈优选平衡3号混合类净值型理财产品2022年半年度报告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3000"/>
        </w:trPr>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21兴资02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20,150,940.00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21甬工投MTN002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20,145,520.00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21浙商G2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20,051,700.00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22高淳国资MTN002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19,991,160.00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22青岛财富MTN001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19,982,140.00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1.70</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24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9K220003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20京国资MTN002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9K220003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21兴资02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兴业资产管理有限公司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9K220003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22高淳国资MTN002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12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9K220003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21兴资02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授信</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兴业资产管理有限公司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051010100101016411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兴银理财睿盈优选平衡3号混合类净值型理财产品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2022年9月21日</w:t>
            </w:r>
          </w:p>
        </w:tc>
        <w:tc>
          <w:tcPr>
     </w:tcPr>
          <w:p>
            <w:pPr>
              <w:pStyle w:val="EMPTY_CELL_STYLE"/>
            </w:pPr>
          </w:p>
        </w:tc>
        <w:tc>
          <w:tcPr>
     </w:tcPr>
          <w:p>
            <w:pPr>
              <w:pStyle w:val="EMPTY_CELL_STYLE"/>
            </w:pPr>
          </w:p>
        </w:tc>
      </w:tr>
      <w:tr>
        <w:trPr>
          <w:trHeight w:hRule="exact" w:val="11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