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兴银理财睿盈优选平衡5号混合类净值型理财产品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兴银理财睿盈优选平衡5号混合类净值型理财产品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9,325,228,897.26份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产品9K220005自成立日以来，累计净值增长率为6.4860%，年化累计净值增长率为3.2341%。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1.04486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1.06486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9,743,568,931.66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br/>
              <w:t xml:space="preserve">    周宇先生，复旦大学金融学硕士、北京大学金融学学士，8年FOF/MOM从业经验。2016年加入兴业银行资产管理部权益投资团队担任投资经理。曾任工商银行私人银行部权益投资经理</w:t>
              <w:b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969,486,410.09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21北京银行CD153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780,764,800.00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21江苏银行CD141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634,332,400.00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202,166,448.00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22华夏银行CD012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195,649,600.00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22浦发银行CD033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195,589,000.00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051010100101033960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兴银理财睿盈优选平衡5号混合类净值型理财产品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