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兴银理财睿盈优选平衡9号混合类净值型理财产品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兴银理财睿盈优选平衡9号混合类净值型理财产品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1,407,937,016.28份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产品9K220009自成立日以来，累计净值增长率为1.9370%，年化累计净值增长率为1.2580%。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1.00937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1.01937</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1,421,131,306.15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br/>
              <w:t xml:space="preserve">    吕承应女士，北京大学统计学学士、经济学双学士，北京大学经济学硕士、新加坡国立大学金融工程硕士，2017年加入兴业银行，具有5年FOF/MOM投资研究经验。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t xml:space="preserve">    固收方面，6月末以来，长端利率出现较快上行，主要是由于疫情影响消退，市场围绕疫后经济复苏开展交易，财政政策加码亦受到关注。考虑到前期政策靠前发力，复工加速，经济从底部回升，短期内修复斜率可能会比较</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Z京-同业借款20220623003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22万科02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100,033,400.00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21远发02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61,118,700.00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21福投03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50,846,400.00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银河君信I ( 519618.OF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46,151,344.93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22两江01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40,555,040.00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信达澳银周期动力(010963.OF)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31,925,593.16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30,418,500.00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22新际03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30,062,250.00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华安安华（002350.OF）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29,189,846.20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Z京-同业借款20220623003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兴业金融租赁有限责任公司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051010100101095753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兴银理财睿盈优选平衡9号混合类净值型理财产品</w:t>
                        </w:r>
                      </w:p>
                    </w:tc>
                  </w:tr>
                </w:tbl>
                <w:p>
                  <w:pPr>
                    <w:pStyle w:val="EMPTY_CELL_STYLE"/>
                  </w:pPr>
                </w:p>
              </w:tc>
            </w:tr>
          </w:tbl>
          <w:p>
            <w:pPr>
              <w:pStyle w:val="EMPTY_CELL_STYLE"/>
            </w:pPr>
          </w:p>
        </w:tc>
        <w:tc>
          <w:tcPr>
     </w:tcPr>
          <w:p>
            <w:pPr>
              <w:pStyle w:val="EMPTY_CELL_STYLE"/>
            </w:pPr>
          </w:p>
        </w:tc>
      </w:tr>
      <w:tr>
        <w:trPr>
          <w:trHeight w:hRule="exact" w:val="1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