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兴银理财增盈优选20号净值型理财产品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601,000,000.00份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4.50%--7.00%/4.50%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产品9K220020自成立日以来，累计净值增长率为5.2070%，年化累计净值增长率为4.4199%。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1.05207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1.05207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632,292,832.68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俄乌战争的爆发导致石油价格高企，推动全球通胀爆发，给各国经济带来压力。3-5月的上海疫情又导致我国经济挖深坑，影响不低于武汉疫情。权益市场年初估值过高，在利率见底后难以维持，持续下跌也导致市场人气涣散。之后疫情加剧了波动，金融委发声建立金融底后在上海部分复工后开始反弹，新能源汽车产业链和新冠口服药等板块表现出色。债市年初在最后一次降息的预期下有一轮继续下行，但随后因经济太差，宽信用预期渐起，叠加社融数据高增的验证，利率开始上行。疫情期间也经历了先下后上，先因疫情对经济悲观，随后因疫情消退对疫后恢复的信心。但整体资金利率较低，市场对信用利差的压缩较有信心。本报告期内，本组合根据市场情况适当调整债券持仓，利用利率衍生品对冲久期风险。对权益资产适当配置并积极调整结构。本组合净值在本报告期内表现较好。</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中原财富-成长653期-象屿股份债权投资一号集合资金信托计划（厦门象屿股份有限公司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300,503,700.00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32,047,136.00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31,343,012.46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23,433,895.00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21海垦V1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20,150,940.00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20,077,640.00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20,049,220.00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5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