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984,162,535.83份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产品9K220022自成立日以来，累计净值增长率为5.6240%，年化累计净值增长率为4.9704%。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1.03093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1,014,599,209.17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130,998,428.00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100,396,326.73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100,289,739.24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74,998,875.00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73,999,186.00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71,094,030.00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69,999,860.00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40,773,360.00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