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兴银理财睿盈年年升3号净值型理财产品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1,166,855,341.43份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919,916,226.75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246,939,114.68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产品9K220203自成立日以来，累计净值增长率为8.7470%，年化累计净值增长率为4.2512%。</w:t>
              <w:br/>
              <w:t xml:space="preserve">产品9K220303自成立日以来，累计净值增长率为9.0240%，年化累计净值增长率为4.3858%。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1,222,927,432.09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963,581,062.48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259,346,369.61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二季度，国内经济增速受疫情影响明显回落，通胀预期略有回落。政策方面，货币政策宽松，但幅度低于预期。银行间资金利率总体处于低位。债市方面，债券市场收益先下后上，总体平稳。股市方面，受疫情影响先跌后涨。本报告期内，本组合减持了部分债券资产，增持了部分权益资产。</w:t>
              <w:br/>
              <w:t xml:space="preserve">    展望2022年三季度，预计经济增速会逐渐企稳。货币政策方面，目前维持宽松，但有进一步低于预期的风险。综合来看，债券中性为主，需要考虑增持套保工具。权益层面，我们认为投资价值较大。从子板块而言，信用债调整的风险远大于利率品种，组合倾向于配置高等级信用和利率品种。权益层面，板块间偏均衡。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121,370,000.00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101,209,950.28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中欧瑾通C 002010.OF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100,387,087.35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21农业银行CD104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97,391,200.00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汇添富灵兴1号集合资产管理计划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54,879,585.84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易方达裕如 001136.OF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50,393,406.69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48,794,900.03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42,265,920.00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40,008,320.00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中欧丰利A 014000.OF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39,662,221.14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兴业期货-睿盈5号集合资产管理计划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