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兴银理财悦动2号ESG净值型理财产品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兴银理财悦动2号ESG净值型理财产品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479,774,248.52份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345,897,005.36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133,877,243.16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产品9K22011A自成立日以来，累计净值增长率为4.0240%，年化累计净值增长率为5.2269%。</w:t>
              <w:br/>
              <w:t xml:space="preserve">产品9K22011B自成立日以来，累计净值增长率为4.0640%，年化累计净值增长率为5.2789%。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499,134,979.65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359,816,403.21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139,318,576.44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一季度，市场最重要的两个非线性变化，即俄乌冲突带来的全球通胀升温、中国加强疫情管控带来的经济衰退和供应链紊乱，而以上两个因素都使得全球经济维持滞涨的时间会增加、因而带来的民粹势力进一步激化、政策更加激进。二季度，市场经历了疫情修复以及俄乌冲突后的能源危机，以及在此影响下中国基本面的拐点向上和欧美深陷通胀沼泥下的拐点向下。从市场层面看，商品从维持高位震荡到二季度逐步回落，相比去年，基础化石能源的价格至少上涨一倍，而我国由于能源供给相对独立，加之国家对于煤炭价格、电力价格的控制手段，我国作为全球供应链的制造环节，尽管中高端利润会大幅压缩，但全球供应链地位、贸易地位仍然较为稳固，反映在权益市场上，A股相对其他发展经济体走出独立行业，经历了1-4月份的大幅调整后，市场迅速反弹，以创业板为例，本轮下跌40%，反弹至今上涨33%。债券市场则多空因素交织，整体表现出窄幅震荡格局。</w:t>
              <w:br/>
              <w:t xml:space="preserve">    二、市场展望。</w:t>
              <w:br/>
              <w:t xml:space="preserve">    展望后市，2022年从经济增速的角度，全年应该是相对困难的一年，整体呈现基本面差、政策进的状态。投资方面，地产销售大幅下滑且复苏缓慢，真正看到数据企稳，最快也要三季度中后期，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小城市在有个例的情况下，果断选择大幅降低经济活动，以达到迅速控制疫情的效果，结果上看，本轮经济、商业活动影响面广、影响程度深，中小企业感受由为明显，进而对可支配收入以及居民消费信心冲击较大，后期促消费政策以及疫情政策逐步调整可能都会看到，但疫情政策的转变才能带来消费增速的真正回归。出口方面，一是由于海外疫情政策放松，供应链逐步修复；二是国内疫情政策趋严，供应链存在阶段性冲击，2022年整体看出口高速增长的势头存在减缓的可能。通胀方面，随着国际能源价格的不断上升，中国很难独善其身，PPI可能出现环比上升的态势，CPI在下半年压力会增加。上述复杂的宏观环境，债券市场，今年宽信用宽货币的整体方向短期难以改变，所有财政策略、产业政策均需货币政策的有利配合，债券震荡市的格局尚未打破，节奏上，待市场逐步消化经济反弹后，可能存在博弈反弹不及预期的机会，到时择机加仓；权益市场，年初以来的大幅震荡，股票分化较大，大盘成长处于历史估值的较贵区间，而价值、中小盘仍处于盘整区间，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    悦动2号自1月初以后逐步降低债券久期，目前维持久期0.5-1.0年；衍生品套利策略不高于5%的比例，由于近期商品市场套利头寸有所收益，带来组合存在一定的波动，后续将维持债券久期至中性，并择机博弈市场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20能投02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28,038,864.00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25,036,825.00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21红狮MTN003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20,401,620.00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20,313,240.00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20,291,340.00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20潞安MTN002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20,066,860.00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22东台城投CP001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20云南交投MTN001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20,019,260.00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20,009,780.00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21浙兴合SCP001(乡村振兴)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22天津医药SCP001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051010100101268496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兴银理财悦动2号ESG净值型理财产品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